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3"/>
        <w:framePr w:wrap="around"/>
        <w:rPr>
          <w:rFonts w:ascii="Times New Roman"/>
        </w:rPr>
      </w:pPr>
      <w:r>
        <w:rPr>
          <w:rFonts w:ascii="Times New Roman"/>
        </w:rPr>
        <w:t>ICS</w:t>
      </w:r>
    </w:p>
    <w:p>
      <w:pPr>
        <w:pStyle w:val="123"/>
        <w:framePr w:wrap="around"/>
      </w:pPr>
      <w:r>
        <w:rPr>
          <w:rFonts w:ascii="Times New Roman"/>
        </w:rPr>
        <w:t>CCS</w:t>
      </w:r>
    </w:p>
    <w:tbl>
      <w:tblPr>
        <w:tblStyle w:val="2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5" w:type="dxa"/>
            <w:tcBorders>
              <w:top w:val="nil"/>
              <w:left w:val="nil"/>
              <w:bottom w:val="nil"/>
              <w:right w:val="nil"/>
            </w:tcBorders>
            <w:shd w:val="clear" w:color="auto" w:fill="auto"/>
          </w:tcPr>
          <w:p>
            <w:pPr>
              <w:pStyle w:val="123"/>
              <w:framePr w:wrap="around"/>
            </w:pPr>
          </w:p>
        </w:tc>
      </w:tr>
    </w:tbl>
    <w:p>
      <w:pPr>
        <w:pStyle w:val="110"/>
        <w:framePr w:wrap="around" w:y="2026"/>
        <w:rPr>
          <w:sz w:val="72"/>
          <w:szCs w:val="72"/>
        </w:rPr>
      </w:pPr>
      <w:r>
        <w:rPr>
          <w:rFonts w:hint="eastAsia"/>
          <w:sz w:val="72"/>
          <w:szCs w:val="72"/>
        </w:rPr>
        <w:t>团体标准</w:t>
      </w:r>
    </w:p>
    <w:p>
      <w:pPr>
        <w:pStyle w:val="40"/>
        <w:framePr w:wrap="around"/>
      </w:pPr>
      <w:r>
        <w:rPr>
          <w:rFonts w:hint="eastAsia" w:ascii="Times New Roman"/>
        </w:rPr>
        <w:t>T</w:t>
      </w:r>
      <w:r>
        <w:rPr>
          <w:rFonts w:ascii="Times New Roman"/>
        </w:rPr>
        <w:t>/</w:t>
      </w:r>
      <w:r>
        <w:rPr>
          <w:rFonts w:hint="eastAsia" w:ascii="Times New Roman"/>
        </w:rPr>
        <w:t>CNEA</w:t>
      </w:r>
      <w:bookmarkStart w:id="0" w:name="StdNo1"/>
      <w:r>
        <w:rPr>
          <w:rFonts w:hint="eastAsia" w:ascii="Times New Roman"/>
        </w:rPr>
        <w:t xml:space="preserve"> </w:t>
      </w:r>
      <w:r>
        <w:fldChar w:fldCharType="begin">
          <w:ffData>
            <w:name w:val="StdNo1"/>
            <w:enabled/>
            <w:calcOnExit w:val="0"/>
            <w:textInput>
              <w:default w:val="XXXX"/>
            </w:textInput>
          </w:ffData>
        </w:fldChar>
      </w:r>
      <w:r>
        <w:instrText xml:space="preserve"> FORMTEXT </w:instrText>
      </w:r>
      <w:r>
        <w:fldChar w:fldCharType="separate"/>
      </w:r>
      <w:r>
        <w:t>XXXX</w:t>
      </w:r>
      <w:r>
        <w:fldChar w:fldCharType="end"/>
      </w:r>
      <w:bookmarkEnd w:id="0"/>
      <w:r>
        <w:t>—</w:t>
      </w:r>
      <w:bookmarkStart w:id="1" w:name="StdNo2"/>
      <w:r>
        <w:fldChar w:fldCharType="begin">
          <w:ffData>
            <w:name w:val="StdNo2"/>
            <w:enabled/>
            <w:calcOnExit w:val="0"/>
            <w:textInput>
              <w:default w:val="XXXX"/>
              <w:maxLength w:val="4"/>
            </w:textInput>
          </w:ffData>
        </w:fldChar>
      </w:r>
      <w:r>
        <w:instrText xml:space="preserve"> FORMTEXT </w:instrText>
      </w:r>
      <w:r>
        <w:fldChar w:fldCharType="separate"/>
      </w:r>
      <w:r>
        <w:t>XXXX</w:t>
      </w:r>
      <w:r>
        <w:fldChar w:fldCharType="end"/>
      </w:r>
      <w:bookmarkEnd w:id="1"/>
    </w:p>
    <w:tbl>
      <w:tblPr>
        <w:tblStyle w:val="2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shd w:val="clear" w:color="auto" w:fill="auto"/>
          </w:tcPr>
          <w:p>
            <w:pPr>
              <w:pStyle w:val="69"/>
              <w:framePr w:wrap="around"/>
            </w:pPr>
            <w:bookmarkStart w:id="2" w:name="DT"/>
            <w:r>
              <mc:AlternateContent>
                <mc:Choice Requires="wps">
                  <w:drawing>
                    <wp:anchor distT="0" distB="0" distL="114300" distR="114300" simplePos="0" relativeHeight="251662336" behindDoc="1" locked="0" layoutInCell="1" allowOverlap="1">
                      <wp:simplePos x="0" y="0"/>
                      <wp:positionH relativeFrom="column">
                        <wp:posOffset>4734560</wp:posOffset>
                      </wp:positionH>
                      <wp:positionV relativeFrom="paragraph">
                        <wp:posOffset>34290</wp:posOffset>
                      </wp:positionV>
                      <wp:extent cx="1143000" cy="228600"/>
                      <wp:effectExtent l="0" t="0" r="3175" b="0"/>
                      <wp:wrapNone/>
                      <wp:docPr id="5" name="DT"/>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DT" o:spid="_x0000_s1026" o:spt="1" style="position:absolute;left:0pt;margin-left:372.8pt;margin-top:2.7pt;height:18pt;width:90pt;z-index:-251654144;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HmDyy9YAAAAIAQAADwAAAAAAAAABACAAAAAiAAAA&#10;ZHJzL2Rvd25yZXYueG1sUEsBAhQAFAAAAAgAh07iQOl1ToMJAgAAIAQAAA4AAAAAAAAAAQAgAAAA&#10;JQEAAGRycy9lMm9Eb2MueG1sUEsFBgAAAAAGAAYAWQEAAKAFAAAAAA==&#10;">
                      <v:fill on="t" focussize="0,0"/>
                      <v:stroke on="f"/>
                      <v:imagedata o:title=""/>
                      <o:lock v:ext="edit" aspectratio="f"/>
                    </v:rect>
                  </w:pict>
                </mc:Fallback>
              </mc:AlternateContent>
            </w:r>
            <w:bookmarkEnd w:id="2"/>
          </w:p>
        </w:tc>
      </w:tr>
    </w:tbl>
    <w:p>
      <w:pPr>
        <w:pStyle w:val="40"/>
        <w:framePr w:wrap="around"/>
      </w:pPr>
    </w:p>
    <w:p>
      <w:pPr>
        <w:pStyle w:val="40"/>
        <w:framePr w:wrap="around"/>
      </w:pPr>
    </w:p>
    <w:p>
      <w:pPr>
        <w:pStyle w:val="71"/>
        <w:framePr w:wrap="around" w:x="1074" w:y="5272"/>
      </w:pPr>
      <w:r>
        <w:rPr>
          <w:rFonts w:hint="eastAsia"/>
          <w:lang w:val="en-US" w:eastAsia="zh-CN"/>
        </w:rPr>
        <w:t>在役</w:t>
      </w:r>
      <w:r>
        <w:rPr>
          <w:rFonts w:hint="eastAsia"/>
        </w:rPr>
        <w:t>核电</w:t>
      </w:r>
      <w:r>
        <w:rPr>
          <w:rFonts w:hint="eastAsia"/>
          <w:lang w:val="en-US" w:eastAsia="zh-CN"/>
        </w:rPr>
        <w:t>站</w:t>
      </w:r>
      <w:r>
        <w:rPr>
          <w:rFonts w:hint="eastAsia"/>
        </w:rPr>
        <w:t>汽轮机保养规范</w:t>
      </w:r>
    </w:p>
    <w:p>
      <w:pPr>
        <w:pStyle w:val="72"/>
        <w:framePr w:wrap="around" w:x="1074" w:y="5272"/>
      </w:pPr>
      <w:bookmarkStart w:id="3" w:name="StdEnglishName"/>
      <w:r>
        <w:rPr>
          <w:rFonts w:hint="eastAsia" w:ascii="Times New Roman" w:hAnsi="Times New Roman" w:eastAsia="黑体" w:cs="Times New Roman"/>
          <w:sz w:val="28"/>
          <w:szCs w:val="28"/>
          <w:lang w:val="en-US" w:eastAsia="zh-CN" w:bidi="ar-SA"/>
        </w:rPr>
        <w:fldChar w:fldCharType="begin">
          <w:ffData>
            <w:name w:val="StdEnglishName"/>
            <w:enabled/>
            <w:calcOnExit w:val="0"/>
            <w:textInput>
              <w:default w:val="Maintenance Guidelines for In-Service Turbines at Nuclear Power Plants"/>
            </w:textInput>
          </w:ffData>
        </w:fldChar>
      </w:r>
      <w:r>
        <w:rPr>
          <w:rFonts w:hint="eastAsia" w:ascii="Times New Roman" w:hAnsi="Times New Roman" w:eastAsia="黑体" w:cs="Times New Roman"/>
          <w:sz w:val="28"/>
          <w:szCs w:val="28"/>
          <w:lang w:val="en-US" w:eastAsia="zh-CN" w:bidi="ar-SA"/>
        </w:rPr>
        <w:instrText xml:space="preserve">FORMTEXT</w:instrText>
      </w:r>
      <w:r>
        <w:rPr>
          <w:rFonts w:hint="eastAsia" w:ascii="Times New Roman" w:hAnsi="Times New Roman" w:eastAsia="黑体" w:cs="Times New Roman"/>
          <w:sz w:val="28"/>
          <w:szCs w:val="28"/>
          <w:lang w:val="en-US" w:eastAsia="zh-CN" w:bidi="ar-SA"/>
        </w:rPr>
        <w:fldChar w:fldCharType="separate"/>
      </w:r>
      <w:r>
        <w:rPr>
          <w:rFonts w:hint="eastAsia" w:ascii="Times New Roman" w:hAnsi="Times New Roman" w:eastAsia="黑体" w:cs="Times New Roman"/>
          <w:sz w:val="28"/>
          <w:szCs w:val="28"/>
          <w:lang w:val="en-US" w:eastAsia="zh-CN" w:bidi="ar-SA"/>
        </w:rPr>
        <w:t>Maintenance Guidelines for In-Service Turbines at Nuclear Power Plants</w:t>
      </w:r>
      <w:r>
        <w:rPr>
          <w:rFonts w:hint="eastAsia" w:ascii="Times New Roman" w:hAnsi="Times New Roman" w:eastAsia="黑体" w:cs="Times New Roman"/>
          <w:sz w:val="28"/>
          <w:szCs w:val="28"/>
          <w:lang w:val="en-US" w:eastAsia="zh-CN" w:bidi="ar-SA"/>
        </w:rPr>
        <w:fldChar w:fldCharType="end"/>
      </w:r>
      <w:bookmarkEnd w:id="3"/>
    </w:p>
    <w:p>
      <w:pPr>
        <w:pStyle w:val="73"/>
        <w:framePr w:wrap="around" w:x="1074" w:y="5272"/>
      </w:pPr>
      <w:bookmarkStart w:id="4" w:name="YZBS"/>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rPr>
          <w:rFonts w:hint="eastAsia"/>
        </w:rPr>
        <w:t>点击此处添加与国际标准一致性程度的标识</w:t>
      </w:r>
      <w:r>
        <w:fldChar w:fldCharType="end"/>
      </w:r>
      <w:bookmarkEnd w:id="4"/>
    </w:p>
    <w:tbl>
      <w:tblPr>
        <w:tblStyle w:val="2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855" w:type="dxa"/>
            <w:tcBorders>
              <w:top w:val="nil"/>
              <w:left w:val="nil"/>
              <w:bottom w:val="nil"/>
              <w:right w:val="nil"/>
            </w:tcBorders>
            <w:shd w:val="clear" w:color="auto" w:fill="auto"/>
          </w:tcPr>
          <w:p>
            <w:pPr>
              <w:pStyle w:val="74"/>
              <w:framePr w:wrap="around" w:x="1074" w:y="5272"/>
              <w:rPr>
                <w:rFonts w:hint="eastAsia" w:eastAsia="宋体"/>
                <w:lang w:val="en-US" w:eastAsia="zh-CN"/>
              </w:rPr>
            </w:pPr>
            <w:r>
              <mc:AlternateContent>
                <mc:Choice Requires="wps">
                  <w:drawing>
                    <wp:anchor distT="0" distB="0" distL="114300" distR="114300" simplePos="0" relativeHeight="251664384" behindDoc="1" locked="1" layoutInCell="1" allowOverlap="1">
                      <wp:simplePos x="0" y="0"/>
                      <wp:positionH relativeFrom="column">
                        <wp:posOffset>2200910</wp:posOffset>
                      </wp:positionH>
                      <wp:positionV relativeFrom="paragraph">
                        <wp:posOffset>573405</wp:posOffset>
                      </wp:positionV>
                      <wp:extent cx="1905000" cy="254000"/>
                      <wp:effectExtent l="0" t="0" r="3175" b="3175"/>
                      <wp:wrapNone/>
                      <wp:docPr id="4" name="RQ"/>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Q" o:spid="_x0000_s1026" o:spt="1" style="position:absolute;left:0pt;margin-left:173.3pt;margin-top:45.15pt;height:20pt;width:150pt;z-index:-251652096;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&#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Fia6S1QAAAAoBAAAPAAAAAAAAAAEAIAAAACIAAABk&#10;cnMvZG93bnJldi54bWxQSwECFAAUAAAACACHTuJAbG1PugkCAAAgBAAADgAAAAAAAAABACAAAAAk&#10;AQAAZHJzL2Uyb0RvYy54bWxQSwUGAAAAAAYABgBZAQAAnwUAAAAA&#10;">
                      <v:fill on="t" focussize="0,0"/>
                      <v:stroke on="f"/>
                      <v:imagedata o:title=""/>
                      <o:lock v:ext="edit" aspectratio="f"/>
                      <w10:anchorlock/>
                    </v:rect>
                  </w:pict>
                </mc:Fallback>
              </mc:AlternateContent>
            </w:r>
            <w:r>
              <mc:AlternateContent>
                <mc:Choice Requires="wps">
                  <w:drawing>
                    <wp:anchor distT="0" distB="0" distL="114300" distR="114300" simplePos="0" relativeHeight="251663360" behindDoc="1" locked="0" layoutInCell="1" allowOverlap="1">
                      <wp:simplePos x="0" y="0"/>
                      <wp:positionH relativeFrom="column">
                        <wp:posOffset>2454910</wp:posOffset>
                      </wp:positionH>
                      <wp:positionV relativeFrom="paragraph">
                        <wp:posOffset>255905</wp:posOffset>
                      </wp:positionV>
                      <wp:extent cx="1270000" cy="304800"/>
                      <wp:effectExtent l="3175" t="0" r="3175" b="3175"/>
                      <wp:wrapNone/>
                      <wp:docPr id="3" name="LB"/>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LB" o:spid="_x0000_s1026" o:spt="1" style="position:absolute;left:0pt;margin-left:193.3pt;margin-top:20.15pt;height:24pt;width:100pt;z-index:-251653120;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A+GL5dYAAAAJAQAADwAAAAAAAAABACAAAAAiAAAA&#10;ZHJzL2Rvd25yZXYueG1sUEsBAhQAFAAAAAgAh07iQBxxlwgJAgAAIAQAAA4AAAAAAAAAAQAgAAAA&#10;JQEAAGRycy9lMm9Eb2MueG1sUEsFBgAAAAAGAAYAWQEAAKAFAAAAAA==&#10;">
                      <v:fill on="t" focussize="0,0"/>
                      <v:stroke on="f"/>
                      <v:imagedata o:title=""/>
                      <o:lock v:ext="edit" aspectratio="f"/>
                    </v:rect>
                  </w:pict>
                </mc:Fallback>
              </mc:AlternateContent>
            </w:r>
            <w:r>
              <w:rPr>
                <w:rFonts w:hint="eastAsia"/>
                <w:lang w:val="en-US" w:eastAsia="zh-CN"/>
              </w:rPr>
              <w:t>（征求意见稿）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pPr>
              <w:pStyle w:val="75"/>
              <w:framePr w:wrap="around" w:x="1074" w:y="5272"/>
            </w:pPr>
            <w:bookmarkStart w:id="5" w:name="WCRQ"/>
            <w:r>
              <w:fldChar w:fldCharType="begin">
                <w:ffData>
                  <w:name w:val="WCRQ"/>
                  <w:enabled/>
                  <w:calcOnExit w:val="0"/>
                  <w:textInput/>
                </w:ffData>
              </w:fldChar>
            </w:r>
            <w:r>
              <w:instrText xml:space="preserve"> FORMTEXT </w:instrText>
            </w:r>
            <w:r>
              <w:fldChar w:fldCharType="separate"/>
            </w:r>
            <w:r>
              <w:rPr>
                <w:rFonts w:hint="eastAsia"/>
              </w:rPr>
              <w:t>（本稿完成日期：</w:t>
            </w:r>
            <w:bookmarkStart w:id="36" w:name="_GoBack"/>
            <w:bookmarkEnd w:id="36"/>
            <w:r>
              <w:rPr>
                <w:rFonts w:hint="eastAsia"/>
              </w:rPr>
              <w:t>）</w:t>
            </w:r>
            <w:r>
              <w:fldChar w:fldCharType="end"/>
            </w:r>
            <w:bookmarkEnd w:id="5"/>
          </w:p>
        </w:tc>
      </w:tr>
    </w:tbl>
    <w:p>
      <w:pPr>
        <w:pStyle w:val="131"/>
        <w:framePr w:wrap="around" w:hAnchor="page" w:x="940" w:y="14150"/>
      </w:pPr>
      <w:bookmarkStart w:id="6" w:name="FY"/>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6"/>
      <w:r>
        <w:t xml:space="preserve"> </w:t>
      </w:r>
      <w:r>
        <w:rPr>
          <w:rFonts w:ascii="黑体"/>
        </w:rPr>
        <w:t>-</w:t>
      </w:r>
      <w:r>
        <w:t xml:space="preserve"> </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7"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7"/>
      <w:r>
        <w:rPr>
          <w:rFonts w:hint="eastAsia"/>
        </w:rPr>
        <w:t>发布</w:t>
      </w:r>
      <w:r>
        <mc:AlternateContent>
          <mc:Choice Requires="wps">
            <w:drawing>
              <wp:anchor distT="0" distB="0" distL="114300" distR="114300" simplePos="0" relativeHeight="251660288" behindDoc="0" locked="1" layoutInCell="1" allowOverlap="1">
                <wp:simplePos x="0" y="0"/>
                <wp:positionH relativeFrom="column">
                  <wp:posOffset>-635</wp:posOffset>
                </wp:positionH>
                <wp:positionV relativeFrom="page">
                  <wp:posOffset>9251950</wp:posOffset>
                </wp:positionV>
                <wp:extent cx="6120130" cy="0"/>
                <wp:effectExtent l="8890" t="3175" r="5080" b="6350"/>
                <wp:wrapNone/>
                <wp:docPr id="2" name="Line 10"/>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0" o:spid="_x0000_s1026" o:spt="20" style="position:absolute;left:0pt;margin-left:-0.05pt;margin-top:728.5pt;height:0pt;width:481.9pt;mso-position-vertical-relative:page;z-index:251660288;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JYdrPNYAAAALAQAADwAAAAAAAAABACAAAAAiAAAAZHJzL2Rv&#10;d25yZXYueG1sUEsBAhQAFAAAAAgAh07iQDdlmv3KAQAAoAMAAA4AAAAAAAAAAQAgAAAAJQEAAGRy&#10;cy9lMm9Eb2MueG1sUEsFBgAAAAAGAAYAWQEAAGEFAAAAAA==&#10;">
                <v:fill on="f" focussize="0,0"/>
                <v:stroke color="#000000" joinstyle="round"/>
                <v:imagedata o:title=""/>
                <o:lock v:ext="edit" aspectratio="f"/>
                <w10:anchorlock/>
              </v:line>
            </w:pict>
          </mc:Fallback>
        </mc:AlternateContent>
      </w:r>
    </w:p>
    <w:p>
      <w:pPr>
        <w:pStyle w:val="132"/>
        <w:framePr w:wrap="around" w:hAnchor="page" w:x="7414" w:y="14037"/>
      </w:pPr>
      <w:bookmarkStart w:id="8" w:name="SY"/>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8"/>
      <w:r>
        <w:t xml:space="preserve"> </w:t>
      </w:r>
      <w:r>
        <w:rPr>
          <w:rFonts w:ascii="黑体"/>
        </w:rPr>
        <w:t>-</w:t>
      </w:r>
      <w:r>
        <w:t xml:space="preserve"> </w:t>
      </w:r>
      <w:bookmarkStart w:id="9"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t xml:space="preserve"> </w:t>
      </w:r>
      <w:r>
        <w:rPr>
          <w:rFonts w:ascii="黑体"/>
        </w:rPr>
        <w:t>-</w:t>
      </w:r>
      <w:r>
        <w:t xml:space="preserve"> </w:t>
      </w:r>
      <w:bookmarkStart w:id="10"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rPr>
          <w:rFonts w:hint="eastAsia"/>
        </w:rPr>
        <w:t>实施</w:t>
      </w:r>
    </w:p>
    <w:p>
      <w:pPr>
        <w:pStyle w:val="111"/>
        <w:framePr w:wrap="around"/>
      </w:pPr>
      <w:r>
        <w:rPr>
          <w:rFonts w:hint="eastAsia"/>
        </w:rPr>
        <w:t>中国核能行业协会</w:t>
      </w:r>
      <w:r>
        <w:rPr>
          <w:rFonts w:ascii="Cambria Math" w:hAnsi="Cambria Math" w:cs="Cambria Math"/>
        </w:rPr>
        <w:t>   </w:t>
      </w:r>
      <w:r>
        <w:rPr>
          <w:rStyle w:val="66"/>
          <w:rFonts w:hint="eastAsia"/>
        </w:rPr>
        <w:t>发布</w:t>
      </w:r>
    </w:p>
    <w:p>
      <w:pPr>
        <w:pStyle w:val="19"/>
        <w:sectPr>
          <w:headerReference r:id="rId3" w:type="even"/>
          <w:footerReference r:id="rId4" w:type="even"/>
          <w:pgSz w:w="11906" w:h="16838"/>
          <w:pgMar w:top="567" w:right="1134" w:bottom="1134" w:left="1417" w:header="0" w:footer="0" w:gutter="0"/>
          <w:pgNumType w:start="1"/>
          <w:cols w:space="425" w:num="1"/>
          <w:docGrid w:type="lines" w:linePitch="312" w:charSpace="0"/>
        </w:sectPr>
      </w:pPr>
      <w:r>
        <mc:AlternateContent>
          <mc:Choice Requires="wps">
            <w:drawing>
              <wp:anchor distT="0" distB="0" distL="114300" distR="114300" simplePos="0" relativeHeight="251661312" behindDoc="0" locked="0" layoutInCell="1" allowOverlap="1">
                <wp:simplePos x="0" y="0"/>
                <wp:positionH relativeFrom="column">
                  <wp:posOffset>-635</wp:posOffset>
                </wp:positionH>
                <wp:positionV relativeFrom="paragraph">
                  <wp:posOffset>2339975</wp:posOffset>
                </wp:positionV>
                <wp:extent cx="6120130" cy="0"/>
                <wp:effectExtent l="3810" t="4445" r="635" b="5080"/>
                <wp:wrapNone/>
                <wp:docPr id="1" name="Line 1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1" o:spid="_x0000_s1026" o:spt="20" style="position:absolute;left:0pt;margin-left:-0.05pt;margin-top:184.25pt;height:0pt;width:481.9pt;z-index:251661312;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CQeJf1wAAAAkBAAAPAAAAAAAAAAEAIAAAACIAAABkcnMvZG93&#10;bnJldi54bWxQSwECFAAUAAAACACHTuJAaX8Ks8gBAACgAwAADgAAAAAAAAABACAAAAAmAQAAZHJz&#10;L2Uyb0RvYy54bWxQSwUGAAAAAAYABgBZAQAAYAUAAAAA&#10;">
                <v:fill on="f" focussize="0,0"/>
                <v:stroke color="#000000" joinstyle="round"/>
                <v:imagedata o:title=""/>
                <o:lock v:ext="edit" aspectratio="f"/>
              </v:line>
            </w:pict>
          </mc:Fallback>
        </mc:AlternateContent>
      </w:r>
    </w:p>
    <w:p>
      <w:pPr>
        <w:pStyle w:val="43"/>
        <w:tabs>
          <w:tab w:val="center" w:pos="4737"/>
          <w:tab w:val="left" w:pos="6552"/>
        </w:tabs>
        <w:jc w:val="left"/>
        <w:rPr>
          <w:rFonts w:hint="eastAsia" w:eastAsia="黑体"/>
          <w:lang w:eastAsia="zh-CN"/>
        </w:rPr>
      </w:pPr>
      <w:bookmarkStart w:id="11" w:name="_Toc201584714"/>
      <w:r>
        <w:rPr>
          <w:rFonts w:hint="eastAsia"/>
          <w:lang w:eastAsia="zh-CN"/>
        </w:rPr>
        <w:tab/>
      </w:r>
      <w:r>
        <w:rPr>
          <w:rFonts w:hint="eastAsia"/>
        </w:rPr>
        <w:t>目</w:t>
      </w:r>
      <w:bookmarkStart w:id="12" w:name="BKML"/>
      <w:r>
        <w:rPr>
          <w:rFonts w:hAnsi="黑体"/>
        </w:rPr>
        <w:t>  </w:t>
      </w:r>
      <w:r>
        <w:rPr>
          <w:rFonts w:hint="eastAsia"/>
        </w:rPr>
        <w:t>次</w:t>
      </w:r>
      <w:bookmarkEnd w:id="11"/>
      <w:bookmarkEnd w:id="12"/>
      <w:r>
        <w:rPr>
          <w:rFonts w:hint="eastAsia"/>
          <w:lang w:eastAsia="zh-CN"/>
        </w:rPr>
        <w:tab/>
      </w:r>
    </w:p>
    <w:p>
      <w:pPr>
        <w:pStyle w:val="16"/>
        <w:rPr>
          <w:rFonts w:ascii="宋体" w:hAnsi="宋体" w:cstheme="minorBidi"/>
          <w:szCs w:val="22"/>
        </w:rPr>
      </w:pPr>
      <w:r>
        <w:rPr>
          <w:szCs w:val="21"/>
        </w:rPr>
        <w:fldChar w:fldCharType="begin"/>
      </w:r>
      <w:r>
        <w:rPr>
          <w:szCs w:val="21"/>
        </w:rPr>
        <w:instrText xml:space="preserve"> TOC \o "1-3" \h \z \u </w:instrText>
      </w:r>
      <w:r>
        <w:rPr>
          <w:szCs w:val="21"/>
        </w:rPr>
        <w:fldChar w:fldCharType="separate"/>
      </w:r>
      <w:r>
        <w:fldChar w:fldCharType="begin"/>
      </w:r>
      <w:r>
        <w:instrText xml:space="preserve"> HYPERLINK \l "_Toc201584715" </w:instrText>
      </w:r>
      <w:r>
        <w:fldChar w:fldCharType="separate"/>
      </w:r>
      <w:r>
        <w:rPr>
          <w:rStyle w:val="31"/>
          <w:rFonts w:ascii="宋体" w:hAnsi="宋体"/>
        </w:rPr>
        <w:t>前</w:t>
      </w:r>
      <w:r>
        <w:rPr>
          <w:rStyle w:val="31"/>
          <w:rFonts w:ascii="宋体" w:hAnsi="宋体" w:cs="Cambria Math"/>
        </w:rPr>
        <w:t>  </w:t>
      </w:r>
      <w:r>
        <w:rPr>
          <w:rStyle w:val="31"/>
          <w:rFonts w:ascii="宋体" w:hAnsi="宋体"/>
        </w:rPr>
        <w:t>言</w:t>
      </w:r>
      <w:r>
        <w:rPr>
          <w:rFonts w:ascii="宋体" w:hAnsi="宋体"/>
        </w:rPr>
        <w:tab/>
      </w:r>
      <w:r>
        <w:rPr>
          <w:rFonts w:ascii="宋体" w:hAnsi="宋体"/>
        </w:rPr>
        <w:fldChar w:fldCharType="begin"/>
      </w:r>
      <w:r>
        <w:rPr>
          <w:rFonts w:ascii="宋体" w:hAnsi="宋体"/>
        </w:rPr>
        <w:instrText xml:space="preserve"> PAGEREF _Toc201584715 \h </w:instrText>
      </w:r>
      <w:r>
        <w:rPr>
          <w:rFonts w:ascii="宋体" w:hAnsi="宋体"/>
        </w:rPr>
        <w:fldChar w:fldCharType="separate"/>
      </w:r>
      <w:r>
        <w:rPr>
          <w:rFonts w:ascii="宋体" w:hAnsi="宋体"/>
        </w:rPr>
        <w:t>II</w:t>
      </w:r>
      <w:r>
        <w:rPr>
          <w:rFonts w:ascii="宋体" w:hAnsi="宋体"/>
        </w:rPr>
        <w:fldChar w:fldCharType="end"/>
      </w:r>
      <w:r>
        <w:rPr>
          <w:rFonts w:ascii="宋体" w:hAnsi="宋体"/>
        </w:rPr>
        <w:fldChar w:fldCharType="end"/>
      </w:r>
    </w:p>
    <w:p>
      <w:pPr>
        <w:pStyle w:val="16"/>
        <w:rPr>
          <w:rFonts w:ascii="宋体" w:hAnsi="宋体" w:cstheme="minorBidi"/>
          <w:szCs w:val="22"/>
        </w:rPr>
      </w:pPr>
      <w:r>
        <w:fldChar w:fldCharType="begin"/>
      </w:r>
      <w:r>
        <w:instrText xml:space="preserve"> HYPERLINK \l "_Toc201584716" </w:instrText>
      </w:r>
      <w:r>
        <w:fldChar w:fldCharType="separate"/>
      </w:r>
      <w:r>
        <w:rPr>
          <w:rStyle w:val="31"/>
          <w:rFonts w:ascii="宋体" w:hAnsi="宋体"/>
        </w:rPr>
        <w:t>引  言</w:t>
      </w:r>
      <w:r>
        <w:rPr>
          <w:rFonts w:ascii="宋体" w:hAnsi="宋体"/>
        </w:rPr>
        <w:tab/>
      </w:r>
      <w:r>
        <w:fldChar w:fldCharType="begin" w:fldLock="1"/>
      </w:r>
      <w:r>
        <w:instrText xml:space="preserve"> PAGEREF _Toc46228653 \h </w:instrText>
      </w:r>
      <w:r>
        <w:fldChar w:fldCharType="separate"/>
      </w:r>
      <w:r>
        <w:t>III</w:t>
      </w:r>
      <w:r>
        <w:fldChar w:fldCharType="end"/>
      </w:r>
      <w:r>
        <w:rPr>
          <w:rFonts w:ascii="宋体" w:hAnsi="宋体"/>
        </w:rPr>
        <w:fldChar w:fldCharType="end"/>
      </w:r>
    </w:p>
    <w:p>
      <w:pPr>
        <w:pStyle w:val="23"/>
        <w:tabs>
          <w:tab w:val="right" w:leader="dot" w:pos="9240"/>
          <w:tab w:val="right" w:leader="dot" w:pos="9345"/>
        </w:tabs>
        <w:spacing w:before="78" w:beforeLines="25" w:after="78" w:afterLines="25"/>
        <w:ind w:left="0" w:leftChars="0"/>
        <w:rPr>
          <w:rFonts w:ascii="宋体" w:hAnsi="宋体" w:cstheme="minorBidi"/>
          <w:szCs w:val="22"/>
        </w:rPr>
      </w:pPr>
      <w:r>
        <w:fldChar w:fldCharType="begin"/>
      </w:r>
      <w:r>
        <w:instrText xml:space="preserve"> HYPERLINK \l "_Toc201584718" </w:instrText>
      </w:r>
      <w:r>
        <w:fldChar w:fldCharType="separate"/>
      </w:r>
      <w:r>
        <w:rPr>
          <w:rStyle w:val="31"/>
          <w:rFonts w:ascii="宋体" w:hAnsi="宋体"/>
        </w:rPr>
        <w:t>1 范围</w:t>
      </w:r>
      <w:r>
        <w:rPr>
          <w:rFonts w:ascii="宋体" w:hAnsi="宋体"/>
        </w:rPr>
        <w:tab/>
      </w:r>
      <w:r>
        <w:rPr>
          <w:rFonts w:ascii="宋体" w:hAnsi="宋体"/>
        </w:rPr>
        <w:fldChar w:fldCharType="begin"/>
      </w:r>
      <w:r>
        <w:rPr>
          <w:rFonts w:ascii="宋体" w:hAnsi="宋体"/>
        </w:rPr>
        <w:instrText xml:space="preserve"> PAGEREF _Toc201584718 \h </w:instrText>
      </w:r>
      <w:r>
        <w:rPr>
          <w:rFonts w:ascii="宋体" w:hAnsi="宋体"/>
        </w:rPr>
        <w:fldChar w:fldCharType="separate"/>
      </w:r>
      <w:r>
        <w:rPr>
          <w:rFonts w:ascii="宋体" w:hAnsi="宋体"/>
        </w:rPr>
        <w:t>1</w:t>
      </w:r>
      <w:r>
        <w:rPr>
          <w:rFonts w:ascii="宋体" w:hAnsi="宋体"/>
        </w:rPr>
        <w:fldChar w:fldCharType="end"/>
      </w:r>
      <w:r>
        <w:rPr>
          <w:rFonts w:ascii="宋体" w:hAnsi="宋体"/>
        </w:rPr>
        <w:fldChar w:fldCharType="end"/>
      </w:r>
    </w:p>
    <w:p>
      <w:pPr>
        <w:pStyle w:val="23"/>
        <w:tabs>
          <w:tab w:val="right" w:leader="dot" w:pos="9240"/>
          <w:tab w:val="right" w:leader="dot" w:pos="9345"/>
        </w:tabs>
        <w:spacing w:before="78" w:beforeLines="25" w:after="78" w:afterLines="25"/>
        <w:ind w:left="0" w:leftChars="0"/>
        <w:rPr>
          <w:rFonts w:ascii="宋体" w:hAnsi="宋体" w:cstheme="minorBidi"/>
          <w:szCs w:val="22"/>
        </w:rPr>
      </w:pPr>
      <w:r>
        <w:fldChar w:fldCharType="begin"/>
      </w:r>
      <w:r>
        <w:instrText xml:space="preserve"> HYPERLINK \l "_Toc201584719" </w:instrText>
      </w:r>
      <w:r>
        <w:fldChar w:fldCharType="separate"/>
      </w:r>
      <w:r>
        <w:rPr>
          <w:rStyle w:val="31"/>
          <w:rFonts w:ascii="宋体" w:hAnsi="宋体"/>
        </w:rPr>
        <w:t>2 规范性引用文件</w:t>
      </w:r>
      <w:r>
        <w:rPr>
          <w:rFonts w:ascii="宋体" w:hAnsi="宋体"/>
        </w:rPr>
        <w:tab/>
      </w:r>
      <w:r>
        <w:rPr>
          <w:rFonts w:ascii="宋体" w:hAnsi="宋体"/>
        </w:rPr>
        <w:fldChar w:fldCharType="begin"/>
      </w:r>
      <w:r>
        <w:rPr>
          <w:rFonts w:ascii="宋体" w:hAnsi="宋体"/>
        </w:rPr>
        <w:instrText xml:space="preserve"> PAGEREF _Toc201584719 \h </w:instrText>
      </w:r>
      <w:r>
        <w:rPr>
          <w:rFonts w:ascii="宋体" w:hAnsi="宋体"/>
        </w:rPr>
        <w:fldChar w:fldCharType="separate"/>
      </w:r>
      <w:r>
        <w:rPr>
          <w:rFonts w:ascii="宋体" w:hAnsi="宋体"/>
        </w:rPr>
        <w:t>1</w:t>
      </w:r>
      <w:r>
        <w:rPr>
          <w:rFonts w:ascii="宋体" w:hAnsi="宋体"/>
        </w:rPr>
        <w:fldChar w:fldCharType="end"/>
      </w:r>
      <w:r>
        <w:rPr>
          <w:rFonts w:ascii="宋体" w:hAnsi="宋体"/>
        </w:rPr>
        <w:fldChar w:fldCharType="end"/>
      </w:r>
    </w:p>
    <w:p>
      <w:pPr>
        <w:pStyle w:val="23"/>
        <w:tabs>
          <w:tab w:val="right" w:leader="dot" w:pos="9240"/>
          <w:tab w:val="right" w:leader="dot" w:pos="9345"/>
        </w:tabs>
        <w:spacing w:before="78" w:beforeLines="25" w:after="78" w:afterLines="25"/>
        <w:ind w:left="0" w:leftChars="0"/>
        <w:rPr>
          <w:rFonts w:ascii="宋体" w:hAnsi="宋体" w:cstheme="minorBidi"/>
          <w:szCs w:val="22"/>
        </w:rPr>
      </w:pPr>
      <w:r>
        <w:fldChar w:fldCharType="begin"/>
      </w:r>
      <w:r>
        <w:instrText xml:space="preserve"> HYPERLINK \l "_Toc201584720" </w:instrText>
      </w:r>
      <w:r>
        <w:fldChar w:fldCharType="separate"/>
      </w:r>
      <w:r>
        <w:rPr>
          <w:rStyle w:val="31"/>
          <w:rFonts w:ascii="宋体" w:hAnsi="宋体"/>
        </w:rPr>
        <w:t>3 术语和定义</w:t>
      </w:r>
      <w:r>
        <w:rPr>
          <w:rFonts w:ascii="宋体" w:hAnsi="宋体"/>
        </w:rPr>
        <w:tab/>
      </w:r>
      <w:r>
        <w:rPr>
          <w:rFonts w:ascii="宋体" w:hAnsi="宋体"/>
        </w:rPr>
        <w:fldChar w:fldCharType="begin"/>
      </w:r>
      <w:r>
        <w:rPr>
          <w:rFonts w:ascii="宋体" w:hAnsi="宋体"/>
        </w:rPr>
        <w:instrText xml:space="preserve"> PAGEREF _Toc201584720 \h </w:instrText>
      </w:r>
      <w:r>
        <w:rPr>
          <w:rFonts w:ascii="宋体" w:hAnsi="宋体"/>
        </w:rPr>
        <w:fldChar w:fldCharType="separate"/>
      </w:r>
      <w:r>
        <w:rPr>
          <w:rFonts w:ascii="宋体" w:hAnsi="宋体"/>
        </w:rPr>
        <w:t>1</w:t>
      </w:r>
      <w:r>
        <w:rPr>
          <w:rFonts w:ascii="宋体" w:hAnsi="宋体"/>
        </w:rPr>
        <w:fldChar w:fldCharType="end"/>
      </w:r>
      <w:r>
        <w:rPr>
          <w:rFonts w:ascii="宋体" w:hAnsi="宋体"/>
        </w:rPr>
        <w:fldChar w:fldCharType="end"/>
      </w:r>
    </w:p>
    <w:p>
      <w:pPr>
        <w:pStyle w:val="23"/>
        <w:tabs>
          <w:tab w:val="right" w:leader="dot" w:pos="9240"/>
          <w:tab w:val="right" w:leader="dot" w:pos="9345"/>
        </w:tabs>
        <w:spacing w:before="78" w:beforeLines="25" w:after="78" w:afterLines="25"/>
        <w:ind w:left="0" w:leftChars="0"/>
        <w:rPr>
          <w:rFonts w:ascii="宋体" w:hAnsi="宋体" w:cstheme="minorBidi"/>
          <w:szCs w:val="22"/>
        </w:rPr>
      </w:pPr>
      <w:r>
        <w:fldChar w:fldCharType="begin"/>
      </w:r>
      <w:r>
        <w:instrText xml:space="preserve"> HYPERLINK \l "_Toc201584722" </w:instrText>
      </w:r>
      <w:r>
        <w:fldChar w:fldCharType="separate"/>
      </w:r>
      <w:r>
        <w:rPr>
          <w:rStyle w:val="31"/>
          <w:rFonts w:hint="eastAsia" w:ascii="宋体" w:hAnsi="宋体"/>
          <w:lang w:val="en-US" w:eastAsia="zh-CN"/>
        </w:rPr>
        <w:t>4</w:t>
      </w:r>
      <w:r>
        <w:rPr>
          <w:rStyle w:val="31"/>
          <w:rFonts w:ascii="宋体" w:hAnsi="宋体"/>
        </w:rPr>
        <w:t xml:space="preserve"> </w:t>
      </w:r>
      <w:r>
        <w:rPr>
          <w:rStyle w:val="31"/>
          <w:rFonts w:hint="eastAsia" w:ascii="宋体" w:hAnsi="宋体"/>
          <w:lang w:val="en-US" w:eastAsia="zh-CN"/>
        </w:rPr>
        <w:t>汽轮机保养</w:t>
      </w:r>
      <w:r>
        <w:rPr>
          <w:rFonts w:ascii="宋体" w:hAnsi="宋体"/>
        </w:rPr>
        <w:tab/>
      </w:r>
      <w:r>
        <w:rPr>
          <w:rFonts w:ascii="宋体" w:hAnsi="宋体"/>
        </w:rPr>
        <w:fldChar w:fldCharType="begin"/>
      </w:r>
      <w:r>
        <w:rPr>
          <w:rFonts w:ascii="宋体" w:hAnsi="宋体"/>
        </w:rPr>
        <w:instrText xml:space="preserve"> PAGEREF _Toc201584722 \h </w:instrText>
      </w:r>
      <w:r>
        <w:rPr>
          <w:rFonts w:ascii="宋体" w:hAnsi="宋体"/>
        </w:rPr>
        <w:fldChar w:fldCharType="separate"/>
      </w:r>
      <w:r>
        <w:rPr>
          <w:rFonts w:ascii="宋体" w:hAnsi="宋体"/>
        </w:rPr>
        <w:t>1</w:t>
      </w:r>
      <w:r>
        <w:rPr>
          <w:rFonts w:ascii="宋体" w:hAnsi="宋体"/>
        </w:rPr>
        <w:fldChar w:fldCharType="end"/>
      </w:r>
      <w:r>
        <w:rPr>
          <w:rFonts w:ascii="宋体" w:hAnsi="宋体"/>
        </w:rPr>
        <w:fldChar w:fldCharType="end"/>
      </w:r>
    </w:p>
    <w:p>
      <w:pPr>
        <w:pStyle w:val="10"/>
        <w:tabs>
          <w:tab w:val="right" w:leader="dot" w:pos="9240"/>
          <w:tab w:val="right" w:leader="dot" w:pos="9345"/>
        </w:tabs>
        <w:spacing w:before="78" w:beforeLines="25" w:after="78" w:afterLines="25"/>
        <w:ind w:left="0" w:leftChars="0" w:firstLine="210" w:firstLineChars="100"/>
        <w:outlineLvl w:val="2"/>
        <w:rPr>
          <w:rFonts w:hint="eastAsia" w:ascii="宋体" w:hAnsi="宋体" w:eastAsia="宋体" w:cstheme="minorBidi"/>
          <w:szCs w:val="22"/>
          <w:lang w:eastAsia="zh-CN"/>
        </w:rPr>
      </w:pPr>
      <w:r>
        <w:fldChar w:fldCharType="begin"/>
      </w:r>
      <w:r>
        <w:instrText xml:space="preserve"> HYPERLINK \l "_Toc201584723" </w:instrText>
      </w:r>
      <w:r>
        <w:fldChar w:fldCharType="separate"/>
      </w:r>
      <w:r>
        <w:rPr>
          <w:rStyle w:val="31"/>
          <w:rFonts w:hint="eastAsia" w:ascii="宋体" w:hAnsi="宋体"/>
          <w:lang w:val="en-US" w:eastAsia="zh-CN"/>
        </w:rPr>
        <w:t>4</w:t>
      </w:r>
      <w:r>
        <w:rPr>
          <w:rStyle w:val="31"/>
          <w:rFonts w:ascii="宋体" w:hAnsi="宋体"/>
        </w:rPr>
        <w:t xml:space="preserve">.1 </w:t>
      </w:r>
      <w:r>
        <w:rPr>
          <w:rFonts w:ascii="宋体" w:hAnsi="宋体"/>
        </w:rPr>
        <w:fldChar w:fldCharType="end"/>
      </w:r>
      <w:r>
        <w:fldChar w:fldCharType="begin"/>
      </w:r>
      <w:r>
        <w:instrText xml:space="preserve"> HYPERLINK \l "_Toc201584724" </w:instrText>
      </w:r>
      <w:r>
        <w:fldChar w:fldCharType="separate"/>
      </w:r>
      <w:r>
        <w:rPr>
          <w:rStyle w:val="31"/>
          <w:rFonts w:ascii="宋体" w:hAnsi="宋体"/>
        </w:rPr>
        <w:t>核电汽轮机</w:t>
      </w:r>
      <w:r>
        <w:rPr>
          <w:rStyle w:val="31"/>
          <w:rFonts w:hint="eastAsia" w:ascii="宋体" w:hAnsi="宋体"/>
          <w:lang w:val="en-US" w:eastAsia="zh-CN"/>
        </w:rPr>
        <w:t>零部件备件</w:t>
      </w:r>
      <w:r>
        <w:rPr>
          <w:rStyle w:val="31"/>
          <w:rFonts w:ascii="宋体" w:hAnsi="宋体"/>
        </w:rPr>
        <w:t>保养规范</w:t>
      </w:r>
      <w:r>
        <w:rPr>
          <w:rFonts w:ascii="宋体" w:hAnsi="宋体"/>
        </w:rPr>
        <w:tab/>
      </w:r>
      <w:r>
        <w:rPr>
          <w:rFonts w:ascii="宋体" w:hAnsi="宋体"/>
        </w:rPr>
        <w:fldChar w:fldCharType="end"/>
      </w:r>
      <w:r>
        <w:rPr>
          <w:rFonts w:hint="eastAsia" w:ascii="宋体" w:hAnsi="宋体"/>
          <w:lang w:val="en-US" w:eastAsia="zh-CN"/>
        </w:rPr>
        <w:t>1</w:t>
      </w:r>
    </w:p>
    <w:p>
      <w:pPr>
        <w:pStyle w:val="10"/>
        <w:tabs>
          <w:tab w:val="right" w:leader="dot" w:pos="9240"/>
          <w:tab w:val="right" w:leader="dot" w:pos="9345"/>
        </w:tabs>
        <w:spacing w:before="78" w:beforeLines="25" w:after="78" w:afterLines="25"/>
        <w:ind w:left="0" w:leftChars="0" w:firstLine="210" w:firstLineChars="100"/>
        <w:rPr>
          <w:rFonts w:ascii="宋体" w:hAnsi="宋体" w:cstheme="minorBidi"/>
          <w:szCs w:val="22"/>
        </w:rPr>
      </w:pPr>
      <w:r>
        <w:fldChar w:fldCharType="begin"/>
      </w:r>
      <w:r>
        <w:instrText xml:space="preserve"> HYPERLINK \l "_Toc201584725" </w:instrText>
      </w:r>
      <w:r>
        <w:fldChar w:fldCharType="separate"/>
      </w:r>
      <w:r>
        <w:rPr>
          <w:rStyle w:val="31"/>
          <w:rFonts w:hint="eastAsia" w:ascii="宋体" w:hAnsi="宋体"/>
          <w:lang w:val="en-US" w:eastAsia="zh-CN"/>
        </w:rPr>
        <w:t>4</w:t>
      </w:r>
      <w:r>
        <w:rPr>
          <w:rStyle w:val="31"/>
          <w:rFonts w:ascii="宋体" w:hAnsi="宋体"/>
        </w:rPr>
        <w:t>.</w:t>
      </w:r>
      <w:r>
        <w:rPr>
          <w:rStyle w:val="31"/>
          <w:rFonts w:hint="eastAsia" w:ascii="宋体" w:hAnsi="宋体"/>
          <w:lang w:val="en-US" w:eastAsia="zh-CN"/>
        </w:rPr>
        <w:t>2</w:t>
      </w:r>
      <w:r>
        <w:rPr>
          <w:rStyle w:val="31"/>
          <w:rFonts w:ascii="宋体" w:hAnsi="宋体"/>
        </w:rPr>
        <w:t xml:space="preserve"> </w:t>
      </w:r>
      <w:r>
        <w:rPr>
          <w:rStyle w:val="31"/>
          <w:rFonts w:hint="eastAsia" w:ascii="宋体" w:hAnsi="宋体"/>
          <w:lang w:val="en-US" w:eastAsia="zh-CN"/>
        </w:rPr>
        <w:t>大修期间汽轮机关键零部件现场</w:t>
      </w:r>
      <w:r>
        <w:rPr>
          <w:rStyle w:val="31"/>
          <w:rFonts w:ascii="宋体" w:hAnsi="宋体"/>
        </w:rPr>
        <w:t>保养规范</w:t>
      </w:r>
      <w:r>
        <w:rPr>
          <w:rFonts w:ascii="宋体" w:hAnsi="宋体"/>
        </w:rPr>
        <w:tab/>
      </w:r>
      <w:r>
        <w:rPr>
          <w:rFonts w:hint="eastAsia" w:ascii="宋体" w:hAnsi="宋体"/>
          <w:lang w:val="en-US" w:eastAsia="zh-CN"/>
        </w:rPr>
        <w:t>1</w:t>
      </w:r>
      <w:r>
        <w:rPr>
          <w:rFonts w:ascii="宋体" w:hAnsi="宋体"/>
        </w:rPr>
        <w:fldChar w:fldCharType="end"/>
      </w:r>
    </w:p>
    <w:p>
      <w:pPr>
        <w:pStyle w:val="10"/>
        <w:tabs>
          <w:tab w:val="right" w:leader="dot" w:pos="9240"/>
          <w:tab w:val="right" w:leader="dot" w:pos="9345"/>
        </w:tabs>
        <w:spacing w:before="78" w:beforeLines="25" w:after="78" w:afterLines="25"/>
        <w:ind w:left="0" w:leftChars="0" w:firstLine="210" w:firstLineChars="100"/>
        <w:rPr>
          <w:rFonts w:ascii="宋体" w:hAnsi="宋体"/>
        </w:rPr>
      </w:pPr>
      <w:r>
        <w:fldChar w:fldCharType="begin"/>
      </w:r>
      <w:r>
        <w:instrText xml:space="preserve"> HYPERLINK \l "_Toc201584726" </w:instrText>
      </w:r>
      <w:r>
        <w:fldChar w:fldCharType="separate"/>
      </w:r>
      <w:r>
        <w:rPr>
          <w:rStyle w:val="31"/>
          <w:rFonts w:hint="eastAsia" w:ascii="宋体" w:hAnsi="宋体"/>
          <w:lang w:val="en-US" w:eastAsia="zh-CN"/>
        </w:rPr>
        <w:t>4</w:t>
      </w:r>
      <w:r>
        <w:rPr>
          <w:rStyle w:val="31"/>
          <w:rFonts w:ascii="宋体" w:hAnsi="宋体"/>
        </w:rPr>
        <w:t>.</w:t>
      </w:r>
      <w:r>
        <w:rPr>
          <w:rStyle w:val="31"/>
          <w:rFonts w:hint="eastAsia" w:ascii="宋体" w:hAnsi="宋体"/>
          <w:lang w:val="en-US" w:eastAsia="zh-CN"/>
        </w:rPr>
        <w:t>3</w:t>
      </w:r>
      <w:r>
        <w:rPr>
          <w:rStyle w:val="31"/>
          <w:rFonts w:ascii="宋体" w:hAnsi="宋体"/>
        </w:rPr>
        <w:t xml:space="preserve"> </w:t>
      </w:r>
      <w:r>
        <w:rPr>
          <w:rStyle w:val="31"/>
          <w:rFonts w:hint="eastAsia" w:ascii="宋体" w:hAnsi="宋体"/>
          <w:lang w:val="en-US" w:eastAsia="zh-CN"/>
        </w:rPr>
        <w:t>核电</w:t>
      </w:r>
      <w:r>
        <w:rPr>
          <w:rStyle w:val="31"/>
          <w:rFonts w:ascii="宋体" w:hAnsi="宋体"/>
        </w:rPr>
        <w:t>汽轮机</w:t>
      </w:r>
      <w:r>
        <w:rPr>
          <w:rStyle w:val="31"/>
          <w:rFonts w:hint="eastAsia" w:ascii="宋体" w:hAnsi="宋体"/>
          <w:lang w:val="en-US" w:eastAsia="zh-CN"/>
        </w:rPr>
        <w:t>大修期间</w:t>
      </w:r>
      <w:r>
        <w:rPr>
          <w:rStyle w:val="31"/>
          <w:rFonts w:ascii="宋体" w:hAnsi="宋体"/>
        </w:rPr>
        <w:t>保养规范</w:t>
      </w:r>
      <w:r>
        <w:rPr>
          <w:rFonts w:ascii="宋体" w:hAnsi="宋体"/>
        </w:rPr>
        <w:tab/>
      </w:r>
      <w:r>
        <w:rPr>
          <w:rFonts w:hint="eastAsia" w:ascii="宋体" w:hAnsi="宋体"/>
          <w:lang w:val="en-US" w:eastAsia="zh-CN"/>
        </w:rPr>
        <w:t>2</w:t>
      </w:r>
      <w:r>
        <w:rPr>
          <w:rFonts w:ascii="宋体" w:hAnsi="宋体"/>
        </w:rPr>
        <w:fldChar w:fldCharType="end"/>
      </w:r>
    </w:p>
    <w:p>
      <w:pPr>
        <w:pStyle w:val="10"/>
        <w:tabs>
          <w:tab w:val="right" w:leader="dot" w:pos="9240"/>
          <w:tab w:val="right" w:leader="dot" w:pos="9345"/>
        </w:tabs>
        <w:spacing w:before="78" w:beforeLines="25" w:after="78" w:afterLines="25"/>
        <w:ind w:left="0" w:leftChars="0" w:firstLine="210" w:firstLineChars="100"/>
      </w:pPr>
      <w:r>
        <w:fldChar w:fldCharType="begin"/>
      </w:r>
      <w:r>
        <w:instrText xml:space="preserve"> HYPERLINK \l "_Toc201584726" </w:instrText>
      </w:r>
      <w:r>
        <w:fldChar w:fldCharType="separate"/>
      </w:r>
      <w:r>
        <w:rPr>
          <w:rStyle w:val="31"/>
          <w:rFonts w:hint="eastAsia" w:ascii="宋体" w:hAnsi="宋体"/>
          <w:lang w:val="en-US" w:eastAsia="zh-CN"/>
        </w:rPr>
        <w:t>4</w:t>
      </w:r>
      <w:r>
        <w:rPr>
          <w:rStyle w:val="31"/>
          <w:rFonts w:ascii="宋体" w:hAnsi="宋体"/>
        </w:rPr>
        <w:t>.</w:t>
      </w:r>
      <w:r>
        <w:rPr>
          <w:rStyle w:val="31"/>
          <w:rFonts w:hint="eastAsia" w:ascii="宋体" w:hAnsi="宋体"/>
          <w:lang w:val="en-US" w:eastAsia="zh-CN"/>
        </w:rPr>
        <w:t>4</w:t>
      </w:r>
      <w:r>
        <w:rPr>
          <w:rStyle w:val="31"/>
          <w:rFonts w:ascii="宋体" w:hAnsi="宋体"/>
        </w:rPr>
        <w:t xml:space="preserve"> </w:t>
      </w:r>
      <w:r>
        <w:rPr>
          <w:rStyle w:val="31"/>
          <w:rFonts w:hint="eastAsia" w:ascii="宋体" w:hAnsi="宋体"/>
          <w:lang w:val="en-US" w:eastAsia="zh-CN"/>
        </w:rPr>
        <w:t>核电</w:t>
      </w:r>
      <w:r>
        <w:rPr>
          <w:rStyle w:val="31"/>
          <w:rFonts w:ascii="宋体" w:hAnsi="宋体"/>
        </w:rPr>
        <w:t>汽轮机</w:t>
      </w:r>
      <w:r>
        <w:rPr>
          <w:rStyle w:val="31"/>
          <w:rFonts w:hint="eastAsia" w:ascii="宋体" w:hAnsi="宋体"/>
          <w:lang w:val="en-US" w:eastAsia="zh-CN"/>
        </w:rPr>
        <w:t>小修期间</w:t>
      </w:r>
      <w:r>
        <w:rPr>
          <w:rStyle w:val="31"/>
          <w:rFonts w:ascii="宋体" w:hAnsi="宋体"/>
        </w:rPr>
        <w:t>保养规范</w:t>
      </w:r>
      <w:r>
        <w:rPr>
          <w:rFonts w:ascii="宋体" w:hAnsi="宋体"/>
        </w:rPr>
        <w:tab/>
      </w:r>
      <w:r>
        <w:rPr>
          <w:rFonts w:hint="eastAsia" w:ascii="宋体" w:hAnsi="宋体"/>
          <w:lang w:val="en-US" w:eastAsia="zh-CN"/>
        </w:rPr>
        <w:t>5</w:t>
      </w:r>
      <w:r>
        <w:rPr>
          <w:rFonts w:ascii="宋体" w:hAnsi="宋体"/>
        </w:rPr>
        <w:fldChar w:fldCharType="end"/>
      </w:r>
    </w:p>
    <w:p>
      <w:pPr>
        <w:pStyle w:val="16"/>
        <w:rPr>
          <w:rFonts w:ascii="宋体" w:hAnsi="宋体" w:cstheme="minorBidi"/>
          <w:szCs w:val="22"/>
        </w:rPr>
      </w:pPr>
      <w:r>
        <w:fldChar w:fldCharType="begin"/>
      </w:r>
      <w:r>
        <w:instrText xml:space="preserve"> HYPERLINK \l "_Toc201584729" </w:instrText>
      </w:r>
      <w:r>
        <w:fldChar w:fldCharType="separate"/>
      </w:r>
      <w:r>
        <w:rPr>
          <w:rStyle w:val="31"/>
          <w:rFonts w:ascii="宋体" w:hAnsi="宋体"/>
        </w:rPr>
        <w:t>附录A</w:t>
      </w:r>
      <w:r>
        <w:rPr>
          <w:rStyle w:val="31"/>
          <w:rFonts w:hint="eastAsia" w:ascii="宋体" w:hAnsi="宋体"/>
          <w:lang w:val="en-US" w:eastAsia="zh-CN"/>
        </w:rPr>
        <w:t xml:space="preserve"> </w:t>
      </w:r>
      <w:r>
        <w:rPr>
          <w:rStyle w:val="31"/>
          <w:rFonts w:ascii="宋体" w:hAnsi="宋体"/>
        </w:rPr>
        <w:t>(</w:t>
      </w:r>
      <w:r>
        <w:rPr>
          <w:rStyle w:val="31"/>
          <w:rFonts w:hint="eastAsia" w:ascii="宋体" w:hAnsi="宋体"/>
        </w:rPr>
        <w:t>规范性附录</w:t>
      </w:r>
      <w:r>
        <w:rPr>
          <w:rStyle w:val="31"/>
          <w:rFonts w:ascii="宋体" w:hAnsi="宋体"/>
        </w:rPr>
        <w:t>)</w:t>
      </w:r>
      <w:r>
        <w:rPr>
          <w:rFonts w:ascii="宋体" w:hAnsi="宋体"/>
        </w:rPr>
        <w:tab/>
      </w:r>
      <w:r>
        <w:rPr>
          <w:rFonts w:hint="eastAsia" w:ascii="宋体" w:hAnsi="宋体"/>
          <w:lang w:val="en-US" w:eastAsia="zh-CN"/>
        </w:rPr>
        <w:t>6</w:t>
      </w:r>
      <w:r>
        <w:rPr>
          <w:rFonts w:ascii="宋体" w:hAnsi="宋体"/>
        </w:rPr>
        <w:fldChar w:fldCharType="end"/>
      </w:r>
      <w:r>
        <w:fldChar w:fldCharType="begin"/>
      </w:r>
      <w:r>
        <w:instrText xml:space="preserve"> HYPERLINK \l "_Toc201584730" </w:instrText>
      </w:r>
      <w:r>
        <w:fldChar w:fldCharType="separate"/>
      </w:r>
      <w:r>
        <w:fldChar w:fldCharType="end"/>
      </w:r>
    </w:p>
    <w:p>
      <w:pPr>
        <w:pStyle w:val="16"/>
        <w:rPr>
          <w:rFonts w:ascii="宋体" w:hAnsi="宋体" w:cstheme="minorBidi"/>
          <w:szCs w:val="22"/>
        </w:rPr>
      </w:pPr>
      <w:r>
        <w:fldChar w:fldCharType="begin"/>
      </w:r>
      <w:r>
        <w:instrText xml:space="preserve"> HYPERLINK \l "_Toc201584732" </w:instrText>
      </w:r>
      <w:r>
        <w:fldChar w:fldCharType="separate"/>
      </w:r>
      <w:r>
        <w:rPr>
          <w:rStyle w:val="31"/>
          <w:rFonts w:ascii="宋体" w:hAnsi="宋体"/>
        </w:rPr>
        <w:t>附录B（资料性附录）</w:t>
      </w:r>
      <w:r>
        <w:rPr>
          <w:rFonts w:ascii="宋体" w:hAnsi="宋体"/>
        </w:rPr>
        <w:tab/>
      </w:r>
      <w:r>
        <w:rPr>
          <w:rFonts w:hint="eastAsia" w:ascii="宋体" w:hAnsi="宋体"/>
          <w:lang w:val="en-US" w:eastAsia="zh-CN"/>
        </w:rPr>
        <w:t>7</w:t>
      </w:r>
      <w:r>
        <w:rPr>
          <w:rFonts w:ascii="宋体" w:hAnsi="宋体"/>
        </w:rPr>
        <w:fldChar w:fldCharType="end"/>
      </w:r>
    </w:p>
    <w:p>
      <w:pPr>
        <w:pStyle w:val="16"/>
        <w:rPr>
          <w:rFonts w:asciiTheme="minorHAnsi" w:hAnsiTheme="minorHAnsi" w:eastAsiaTheme="minorEastAsia" w:cstheme="minorBidi"/>
          <w:szCs w:val="22"/>
        </w:rPr>
      </w:pPr>
      <w:r>
        <w:fldChar w:fldCharType="begin"/>
      </w:r>
      <w:r>
        <w:instrText xml:space="preserve"> HYPERLINK \l "_Toc201584733" </w:instrText>
      </w:r>
      <w:r>
        <w:fldChar w:fldCharType="separate"/>
      </w:r>
      <w:r>
        <w:rPr>
          <w:rStyle w:val="31"/>
          <w:rFonts w:ascii="宋体" w:hAnsi="宋体"/>
        </w:rPr>
        <w:t>参考文献</w:t>
      </w:r>
      <w:r>
        <w:rPr>
          <w:rFonts w:ascii="宋体" w:hAnsi="宋体"/>
        </w:rPr>
        <w:tab/>
      </w:r>
      <w:r>
        <w:rPr>
          <w:rFonts w:hint="eastAsia" w:ascii="宋体" w:hAnsi="宋体"/>
          <w:lang w:val="en-US" w:eastAsia="zh-CN"/>
        </w:rPr>
        <w:t>8</w:t>
      </w:r>
      <w:r>
        <w:rPr>
          <w:rFonts w:ascii="宋体" w:hAnsi="宋体"/>
        </w:rPr>
        <w:fldChar w:fldCharType="end"/>
      </w:r>
    </w:p>
    <w:p>
      <w:pPr>
        <w:pStyle w:val="19"/>
        <w:rPr>
          <w:kern w:val="2"/>
          <w:szCs w:val="21"/>
        </w:rPr>
      </w:pPr>
      <w:r>
        <w:rPr>
          <w:kern w:val="2"/>
          <w:szCs w:val="21"/>
        </w:rPr>
        <w:fldChar w:fldCharType="end"/>
      </w:r>
    </w:p>
    <w:p>
      <w:pPr>
        <w:tabs>
          <w:tab w:val="left" w:pos="3708"/>
        </w:tabs>
        <w:bidi w:val="0"/>
        <w:jc w:val="left"/>
        <w:rPr>
          <w:rFonts w:hint="eastAsia" w:eastAsia="宋体"/>
          <w:lang w:eastAsia="zh-CN"/>
        </w:rPr>
      </w:pPr>
      <w:r>
        <w:rPr>
          <w:rFonts w:hint="eastAsia"/>
          <w:lang w:eastAsia="zh-CN"/>
        </w:rPr>
        <w:tab/>
      </w:r>
    </w:p>
    <w:p>
      <w:pPr>
        <w:pStyle w:val="112"/>
      </w:pPr>
      <w:bookmarkStart w:id="13" w:name="_Toc201584715"/>
      <w:r>
        <w:rPr>
          <w:rFonts w:hint="eastAsia"/>
        </w:rPr>
        <w:t>前</w:t>
      </w:r>
      <w:bookmarkStart w:id="14" w:name="BKQY"/>
      <w:r>
        <w:rPr>
          <w:rFonts w:ascii="Cambria Math" w:hAnsi="Cambria Math" w:cs="Cambria Math"/>
        </w:rPr>
        <w:t>  </w:t>
      </w:r>
      <w:r>
        <w:rPr>
          <w:rFonts w:hint="eastAsia"/>
        </w:rPr>
        <w:t>言</w:t>
      </w:r>
      <w:bookmarkEnd w:id="13"/>
      <w:bookmarkEnd w:id="14"/>
    </w:p>
    <w:p>
      <w:pPr>
        <w:pStyle w:val="138"/>
        <w:spacing w:before="0" w:beforeAutospacing="0" w:after="0" w:afterAutospacing="0"/>
        <w:ind w:firstLine="420"/>
        <w:jc w:val="both"/>
        <w:rPr>
          <w:color w:val="000000"/>
          <w:sz w:val="21"/>
          <w:szCs w:val="21"/>
        </w:rPr>
      </w:pPr>
      <w:r>
        <w:rPr>
          <w:rFonts w:hint="eastAsia"/>
          <w:color w:val="000000"/>
          <w:sz w:val="21"/>
          <w:szCs w:val="21"/>
        </w:rPr>
        <w:t>本文件按照GB/T 1.1</w:t>
      </w:r>
      <w:r>
        <w:rPr>
          <w:rFonts w:hAnsi="Times New Roman" w:cs="Times New Roman"/>
          <w:color w:val="000000"/>
          <w:sz w:val="21"/>
          <w:szCs w:val="21"/>
        </w:rPr>
        <w:t>—</w:t>
      </w:r>
      <w:r>
        <w:rPr>
          <w:rFonts w:hint="eastAsia"/>
          <w:color w:val="000000"/>
          <w:sz w:val="21"/>
          <w:szCs w:val="21"/>
        </w:rPr>
        <w:t>2020的规定起草。</w:t>
      </w:r>
    </w:p>
    <w:p>
      <w:pPr>
        <w:pStyle w:val="138"/>
        <w:spacing w:before="0" w:beforeAutospacing="0" w:after="0" w:afterAutospacing="0"/>
        <w:ind w:firstLine="420"/>
        <w:jc w:val="both"/>
        <w:rPr>
          <w:color w:val="000000"/>
          <w:sz w:val="21"/>
          <w:szCs w:val="21"/>
        </w:rPr>
      </w:pPr>
      <w:r>
        <w:rPr>
          <w:rFonts w:hint="eastAsia"/>
          <w:color w:val="000000"/>
          <w:sz w:val="21"/>
          <w:szCs w:val="21"/>
        </w:rPr>
        <w:t>请注意本文件的某些内容可能涉及专利。本文件的发布机构不承担识别专利的责任。</w:t>
      </w:r>
    </w:p>
    <w:p>
      <w:pPr>
        <w:pStyle w:val="138"/>
        <w:spacing w:before="0" w:beforeAutospacing="0" w:after="0" w:afterAutospacing="0"/>
        <w:ind w:firstLine="420"/>
        <w:jc w:val="both"/>
        <w:rPr>
          <w:color w:val="000000"/>
          <w:sz w:val="21"/>
          <w:szCs w:val="21"/>
        </w:rPr>
      </w:pPr>
      <w:r>
        <w:rPr>
          <w:rFonts w:hint="eastAsia"/>
          <w:color w:val="000000"/>
          <w:sz w:val="21"/>
          <w:szCs w:val="21"/>
        </w:rPr>
        <w:t>本文件由中国核能行业协会提出并归口，技术支持单位为上海核工程研究设计院有限公司、核工业标准化研究所、苏州热工研究院有限公司。</w:t>
      </w:r>
    </w:p>
    <w:p>
      <w:pPr>
        <w:pStyle w:val="138"/>
        <w:spacing w:before="0" w:beforeAutospacing="0" w:after="0" w:afterAutospacing="0"/>
        <w:ind w:firstLine="420"/>
        <w:jc w:val="both"/>
        <w:rPr>
          <w:color w:val="000000"/>
          <w:sz w:val="21"/>
          <w:szCs w:val="21"/>
        </w:rPr>
      </w:pPr>
      <w:r>
        <w:rPr>
          <w:rFonts w:hint="eastAsia"/>
          <w:color w:val="000000"/>
          <w:sz w:val="21"/>
          <w:szCs w:val="21"/>
        </w:rPr>
        <w:t>本文件起草单位：海南核电有限公司</w:t>
      </w:r>
      <w:r>
        <w:rPr>
          <w:rFonts w:hint="eastAsia"/>
          <w:color w:val="000000"/>
          <w:sz w:val="21"/>
          <w:szCs w:val="21"/>
          <w:lang w:eastAsia="zh-CN"/>
        </w:rPr>
        <w:t>。</w:t>
      </w:r>
      <w:r>
        <w:rPr>
          <w:rFonts w:hint="eastAsia"/>
          <w:color w:val="000000"/>
          <w:sz w:val="21"/>
          <w:szCs w:val="21"/>
          <w:lang w:val="en-US" w:eastAsia="zh-CN"/>
        </w:rPr>
        <w:t>参编单位：</w:t>
      </w:r>
      <w:r>
        <w:rPr>
          <w:rFonts w:hint="eastAsia"/>
          <w:color w:val="000000"/>
          <w:sz w:val="21"/>
          <w:szCs w:val="21"/>
        </w:rPr>
        <w:t>中核运维技术有限公司</w:t>
      </w:r>
      <w:r>
        <w:rPr>
          <w:rFonts w:hint="eastAsia"/>
          <w:color w:val="000000"/>
          <w:sz w:val="21"/>
          <w:szCs w:val="21"/>
          <w:lang w:eastAsia="zh-CN"/>
        </w:rPr>
        <w:t>、</w:t>
      </w:r>
      <w:r>
        <w:rPr>
          <w:rFonts w:hint="eastAsia"/>
          <w:color w:val="000000"/>
          <w:sz w:val="21"/>
          <w:szCs w:val="21"/>
          <w:lang w:val="en-US" w:eastAsia="zh-CN"/>
        </w:rPr>
        <w:t>福建福清核电有限公司、中核国电漳州能源有限公司</w:t>
      </w:r>
      <w:r>
        <w:rPr>
          <w:rFonts w:hint="eastAsia"/>
          <w:color w:val="000000"/>
          <w:sz w:val="21"/>
          <w:szCs w:val="21"/>
        </w:rPr>
        <w:t>。</w:t>
      </w:r>
    </w:p>
    <w:p>
      <w:pPr>
        <w:pStyle w:val="138"/>
        <w:spacing w:before="0" w:beforeAutospacing="0" w:after="0" w:afterAutospacing="0"/>
        <w:ind w:firstLine="420"/>
        <w:jc w:val="both"/>
        <w:rPr>
          <w:color w:val="000000"/>
          <w:sz w:val="21"/>
          <w:szCs w:val="21"/>
        </w:rPr>
      </w:pPr>
      <w:r>
        <w:rPr>
          <w:rFonts w:hint="eastAsia"/>
          <w:color w:val="000000"/>
          <w:sz w:val="21"/>
          <w:szCs w:val="21"/>
        </w:rPr>
        <w:t>本文件主要起草人：陈泳、詹华德</w:t>
      </w:r>
      <w:r>
        <w:rPr>
          <w:rFonts w:hint="eastAsia"/>
          <w:color w:val="000000"/>
          <w:sz w:val="21"/>
          <w:szCs w:val="21"/>
          <w:lang w:eastAsia="zh-CN"/>
        </w:rPr>
        <w:t>、</w:t>
      </w:r>
      <w:r>
        <w:rPr>
          <w:rFonts w:hint="eastAsia"/>
          <w:color w:val="000000"/>
          <w:sz w:val="21"/>
          <w:szCs w:val="21"/>
        </w:rPr>
        <w:t>洪族奇、</w:t>
      </w:r>
      <w:r>
        <w:rPr>
          <w:rFonts w:hint="eastAsia"/>
          <w:color w:val="000000"/>
          <w:sz w:val="21"/>
          <w:szCs w:val="21"/>
          <w:lang w:val="en-US" w:eastAsia="zh-CN"/>
        </w:rPr>
        <w:t>刘竹鹏、罗贤龙</w:t>
      </w:r>
      <w:r>
        <w:rPr>
          <w:rFonts w:hint="eastAsia"/>
          <w:color w:val="000000"/>
          <w:sz w:val="21"/>
          <w:szCs w:val="21"/>
        </w:rPr>
        <w:t>、</w:t>
      </w:r>
      <w:r>
        <w:rPr>
          <w:rFonts w:hint="eastAsia"/>
          <w:color w:val="000000"/>
          <w:sz w:val="21"/>
          <w:szCs w:val="21"/>
          <w:lang w:val="en-US" w:eastAsia="zh-CN"/>
        </w:rPr>
        <w:t>韩培、</w:t>
      </w:r>
      <w:r>
        <w:rPr>
          <w:rFonts w:hint="eastAsia"/>
          <w:color w:val="000000"/>
          <w:sz w:val="21"/>
          <w:szCs w:val="21"/>
        </w:rPr>
        <w:t>朱建斌</w:t>
      </w:r>
      <w:r>
        <w:rPr>
          <w:rFonts w:hint="eastAsia"/>
          <w:color w:val="000000"/>
          <w:sz w:val="21"/>
          <w:szCs w:val="21"/>
          <w:lang w:val="en-US" w:eastAsia="zh-CN"/>
        </w:rPr>
        <w:t>、张成亮、</w:t>
      </w:r>
      <w:r>
        <w:rPr>
          <w:rFonts w:hint="eastAsia"/>
          <w:color w:val="000000"/>
          <w:sz w:val="21"/>
          <w:szCs w:val="21"/>
        </w:rPr>
        <w:t>陈善安</w:t>
      </w:r>
      <w:r>
        <w:rPr>
          <w:rFonts w:hint="eastAsia"/>
          <w:color w:val="000000"/>
          <w:sz w:val="21"/>
          <w:szCs w:val="21"/>
          <w:lang w:eastAsia="zh-CN"/>
        </w:rPr>
        <w:t>、</w:t>
      </w:r>
      <w:r>
        <w:rPr>
          <w:rFonts w:hint="eastAsia"/>
          <w:color w:val="000000"/>
          <w:sz w:val="21"/>
          <w:szCs w:val="21"/>
          <w:lang w:val="en-US" w:eastAsia="zh-CN"/>
        </w:rPr>
        <w:t>乔晟原</w:t>
      </w:r>
      <w:r>
        <w:rPr>
          <w:rFonts w:hint="eastAsia"/>
          <w:color w:val="000000"/>
          <w:sz w:val="21"/>
          <w:szCs w:val="21"/>
        </w:rPr>
        <w:t>。</w:t>
      </w:r>
    </w:p>
    <w:p>
      <w:pPr>
        <w:pStyle w:val="138"/>
        <w:spacing w:before="0" w:beforeAutospacing="0" w:after="0" w:afterAutospacing="0"/>
        <w:ind w:firstLine="420"/>
        <w:jc w:val="both"/>
        <w:rPr>
          <w:color w:val="000000"/>
          <w:sz w:val="21"/>
          <w:szCs w:val="21"/>
        </w:rPr>
      </w:pPr>
      <w:r>
        <w:rPr>
          <w:rFonts w:hint="eastAsia"/>
          <w:color w:val="000000"/>
          <w:sz w:val="21"/>
          <w:szCs w:val="21"/>
        </w:rPr>
        <w:t>本文件为首次发布。</w:t>
      </w:r>
    </w:p>
    <w:p>
      <w:pPr>
        <w:pStyle w:val="41"/>
        <w:numPr>
          <w:ilvl w:val="0"/>
          <w:numId w:val="0"/>
        </w:numPr>
        <w:ind w:left="833"/>
      </w:pPr>
    </w:p>
    <w:p>
      <w:pPr>
        <w:pStyle w:val="41"/>
        <w:numPr>
          <w:ilvl w:val="0"/>
          <w:numId w:val="0"/>
        </w:numPr>
        <w:ind w:left="833"/>
      </w:pPr>
    </w:p>
    <w:p>
      <w:pPr>
        <w:pStyle w:val="41"/>
        <w:numPr>
          <w:ilvl w:val="0"/>
          <w:numId w:val="0"/>
        </w:numPr>
        <w:ind w:left="833"/>
        <w:sectPr>
          <w:headerReference r:id="rId5" w:type="default"/>
          <w:footerReference r:id="rId6" w:type="default"/>
          <w:footerReference r:id="rId7" w:type="even"/>
          <w:pgSz w:w="11906" w:h="16838"/>
          <w:pgMar w:top="567" w:right="1134" w:bottom="1134" w:left="1417" w:header="1418" w:footer="1134" w:gutter="0"/>
          <w:pgNumType w:fmt="upperRoman" w:start="1"/>
          <w:cols w:space="425" w:num="1"/>
          <w:formProt w:val="0"/>
          <w:docGrid w:type="lines" w:linePitch="312" w:charSpace="0"/>
        </w:sectPr>
      </w:pPr>
    </w:p>
    <w:p>
      <w:pPr>
        <w:pStyle w:val="112"/>
      </w:pPr>
      <w:bookmarkStart w:id="15" w:name="_Toc201584716"/>
      <w:r>
        <w:rPr>
          <w:rFonts w:hint="eastAsia"/>
        </w:rPr>
        <w:t>引</w:t>
      </w:r>
      <w:bookmarkStart w:id="16" w:name="BKYY"/>
      <w:r>
        <w:rPr>
          <w:rFonts w:hAnsi="黑体"/>
        </w:rPr>
        <w:t>  </w:t>
      </w:r>
      <w:r>
        <w:rPr>
          <w:rFonts w:hint="eastAsia"/>
        </w:rPr>
        <w:t>言</w:t>
      </w:r>
      <w:bookmarkEnd w:id="15"/>
      <w:bookmarkEnd w:id="16"/>
    </w:p>
    <w:p>
      <w:pPr>
        <w:pStyle w:val="41"/>
        <w:numPr>
          <w:ilvl w:val="0"/>
          <w:numId w:val="0"/>
        </w:numPr>
        <w:ind w:left="0" w:leftChars="0" w:firstLine="0" w:firstLineChars="0"/>
      </w:pPr>
      <w:r>
        <w:rPr>
          <w:rFonts w:hint="eastAsia"/>
          <w:color w:val="000000"/>
          <w:sz w:val="21"/>
          <w:szCs w:val="21"/>
        </w:rPr>
        <w:t>核电站汽轮机作为核能发电系统的核心设备之一，在机组的安全稳定运行中发挥着重要作用。为了保障</w:t>
      </w:r>
      <w:r>
        <w:rPr>
          <w:rFonts w:hint="eastAsia"/>
          <w:color w:val="000000"/>
          <w:sz w:val="21"/>
          <w:szCs w:val="21"/>
          <w:lang w:val="en-US" w:eastAsia="zh-CN"/>
        </w:rPr>
        <w:t>在役核电站</w:t>
      </w:r>
      <w:r>
        <w:rPr>
          <w:rFonts w:hint="eastAsia"/>
          <w:color w:val="000000"/>
          <w:sz w:val="21"/>
          <w:szCs w:val="21"/>
        </w:rPr>
        <w:t>汽轮机的高效运转和长</w:t>
      </w:r>
      <w:r>
        <w:rPr>
          <w:rFonts w:hint="eastAsia"/>
          <w:color w:val="000000"/>
          <w:sz w:val="21"/>
          <w:szCs w:val="21"/>
          <w:lang w:val="en-US" w:eastAsia="zh-CN"/>
        </w:rPr>
        <w:t>周</w:t>
      </w:r>
      <w:r>
        <w:rPr>
          <w:rFonts w:hint="eastAsia"/>
          <w:color w:val="000000"/>
          <w:sz w:val="21"/>
          <w:szCs w:val="21"/>
        </w:rPr>
        <w:t>期可靠性</w:t>
      </w:r>
      <w:r>
        <w:rPr>
          <w:rFonts w:hint="eastAsia"/>
          <w:color w:val="000000"/>
          <w:sz w:val="21"/>
          <w:szCs w:val="21"/>
          <w:lang w:val="en-US" w:eastAsia="zh-CN"/>
        </w:rPr>
        <w:t>运行</w:t>
      </w:r>
      <w:r>
        <w:rPr>
          <w:rFonts w:hint="eastAsia"/>
          <w:color w:val="000000"/>
          <w:sz w:val="21"/>
          <w:szCs w:val="21"/>
        </w:rPr>
        <w:t>，</w:t>
      </w:r>
      <w:r>
        <w:rPr>
          <w:rFonts w:hint="eastAsia"/>
          <w:color w:val="000000"/>
          <w:sz w:val="21"/>
          <w:szCs w:val="21"/>
          <w:lang w:val="en-US" w:eastAsia="zh-CN"/>
        </w:rPr>
        <w:t>设备</w:t>
      </w:r>
      <w:r>
        <w:rPr>
          <w:rFonts w:hint="eastAsia"/>
          <w:color w:val="000000"/>
          <w:sz w:val="21"/>
          <w:szCs w:val="21"/>
        </w:rPr>
        <w:t>保养工作至关重要。本</w:t>
      </w:r>
      <w:r>
        <w:rPr>
          <w:rFonts w:hint="eastAsia"/>
          <w:color w:val="000000"/>
          <w:sz w:val="21"/>
          <w:szCs w:val="21"/>
          <w:lang w:val="en-US" w:eastAsia="zh-CN"/>
        </w:rPr>
        <w:t>文件通过</w:t>
      </w:r>
      <w:r>
        <w:rPr>
          <w:rFonts w:hint="eastAsia"/>
          <w:color w:val="000000"/>
          <w:sz w:val="21"/>
          <w:szCs w:val="21"/>
        </w:rPr>
        <w:t>详细介绍</w:t>
      </w:r>
      <w:r>
        <w:rPr>
          <w:rFonts w:hint="eastAsia"/>
          <w:color w:val="000000"/>
          <w:sz w:val="21"/>
          <w:szCs w:val="21"/>
          <w:lang w:val="en-US" w:eastAsia="zh-CN"/>
        </w:rPr>
        <w:t>在役</w:t>
      </w:r>
      <w:r>
        <w:rPr>
          <w:rFonts w:hint="eastAsia"/>
          <w:color w:val="000000"/>
          <w:sz w:val="21"/>
          <w:szCs w:val="21"/>
        </w:rPr>
        <w:t>核电</w:t>
      </w:r>
      <w:r>
        <w:rPr>
          <w:rFonts w:hint="eastAsia"/>
          <w:color w:val="000000"/>
          <w:sz w:val="21"/>
          <w:szCs w:val="21"/>
          <w:lang w:val="en-US" w:eastAsia="zh-CN"/>
        </w:rPr>
        <w:t>站</w:t>
      </w:r>
      <w:r>
        <w:rPr>
          <w:rFonts w:hint="eastAsia"/>
          <w:color w:val="000000"/>
          <w:sz w:val="21"/>
          <w:szCs w:val="21"/>
        </w:rPr>
        <w:t>汽轮机</w:t>
      </w:r>
      <w:r>
        <w:rPr>
          <w:rFonts w:hint="eastAsia"/>
          <w:color w:val="000000"/>
          <w:sz w:val="21"/>
          <w:szCs w:val="21"/>
          <w:lang w:val="en-US" w:eastAsia="zh-CN"/>
        </w:rPr>
        <w:t>设备零部件大修、小修期间的汽轮机保养技术要求</w:t>
      </w:r>
      <w:r>
        <w:rPr>
          <w:rFonts w:hint="eastAsia"/>
          <w:color w:val="000000"/>
          <w:sz w:val="21"/>
          <w:szCs w:val="21"/>
        </w:rPr>
        <w:t>。通过</w:t>
      </w:r>
      <w:r>
        <w:rPr>
          <w:rFonts w:hint="eastAsia"/>
          <w:color w:val="000000"/>
          <w:sz w:val="21"/>
          <w:szCs w:val="21"/>
          <w:lang w:val="en-US" w:eastAsia="zh-CN"/>
        </w:rPr>
        <w:t>具体的可操作措施，执行汽轮机的保养。</w:t>
      </w:r>
      <w:r>
        <w:rPr>
          <w:rFonts w:hint="eastAsia"/>
          <w:color w:val="000000"/>
          <w:sz w:val="21"/>
          <w:szCs w:val="21"/>
        </w:rPr>
        <w:t>不仅能够预防设备</w:t>
      </w:r>
      <w:r>
        <w:rPr>
          <w:rFonts w:hint="eastAsia"/>
          <w:color w:val="000000"/>
          <w:sz w:val="21"/>
          <w:szCs w:val="21"/>
          <w:lang w:val="en-US" w:eastAsia="zh-CN"/>
        </w:rPr>
        <w:t>因保养不当带来的</w:t>
      </w:r>
      <w:r>
        <w:rPr>
          <w:rFonts w:hint="eastAsia"/>
          <w:color w:val="000000"/>
          <w:sz w:val="21"/>
          <w:szCs w:val="21"/>
        </w:rPr>
        <w:t>故障，还能有效延长汽轮机的使用寿命，为核电站的安全运行提供坚实保障。</w:t>
      </w:r>
    </w:p>
    <w:p>
      <w:pPr>
        <w:pStyle w:val="41"/>
        <w:numPr>
          <w:ilvl w:val="0"/>
          <w:numId w:val="0"/>
        </w:numPr>
        <w:ind w:left="833"/>
        <w:sectPr>
          <w:headerReference r:id="rId8" w:type="default"/>
          <w:footerReference r:id="rId9" w:type="default"/>
          <w:footerReference r:id="rId10" w:type="even"/>
          <w:pgSz w:w="11906" w:h="16838"/>
          <w:pgMar w:top="567" w:right="1134" w:bottom="1134" w:left="1417" w:header="1418" w:footer="1134" w:gutter="0"/>
          <w:pgNumType w:fmt="upperRoman"/>
          <w:cols w:space="720" w:num="1"/>
          <w:formProt w:val="0"/>
          <w:docGrid w:type="lines" w:linePitch="312" w:charSpace="0"/>
        </w:sectPr>
      </w:pPr>
    </w:p>
    <w:p>
      <w:pPr>
        <w:pStyle w:val="43"/>
      </w:pPr>
      <w:bookmarkStart w:id="17" w:name="_Toc201584717"/>
      <w:bookmarkStart w:id="18" w:name="StandardName"/>
      <w:r>
        <w:rPr>
          <w:rFonts w:hint="eastAsia"/>
          <w:lang w:val="en-US" w:eastAsia="zh-CN"/>
        </w:rPr>
        <w:t>在役核电站</w:t>
      </w:r>
      <w:r>
        <w:rPr>
          <w:rFonts w:hint="eastAsia"/>
        </w:rPr>
        <w:t>汽轮</w:t>
      </w:r>
      <w:r>
        <w:rPr>
          <w:rFonts w:hint="eastAsia"/>
          <w:lang w:val="en-US" w:eastAsia="zh-CN"/>
        </w:rPr>
        <w:t>机</w:t>
      </w:r>
      <w:r>
        <w:rPr>
          <w:rFonts w:hint="eastAsia"/>
        </w:rPr>
        <w:t>保养规范</w:t>
      </w:r>
      <w:bookmarkEnd w:id="17"/>
      <w:bookmarkEnd w:id="18"/>
    </w:p>
    <w:p>
      <w:pPr>
        <w:pStyle w:val="38"/>
      </w:pPr>
      <w:bookmarkStart w:id="19" w:name="_Toc201584718"/>
      <w:bookmarkStart w:id="20" w:name="_Toc475687365"/>
      <w:r>
        <w:rPr>
          <w:rFonts w:hint="eastAsia"/>
        </w:rPr>
        <w:t>范围</w:t>
      </w:r>
      <w:bookmarkEnd w:id="19"/>
      <w:bookmarkEnd w:id="20"/>
    </w:p>
    <w:p>
      <w:pPr>
        <w:pStyle w:val="146"/>
        <w:ind w:firstLine="420"/>
      </w:pPr>
      <w:r>
        <w:rPr>
          <w:rFonts w:hint="eastAsia"/>
        </w:rPr>
        <w:t>本文件规定了核电厂</w:t>
      </w:r>
      <w:r>
        <w:rPr>
          <w:rFonts w:hint="eastAsia"/>
          <w:lang w:val="en-US" w:eastAsia="zh-CN"/>
        </w:rPr>
        <w:t>汽轮机</w:t>
      </w:r>
      <w:r>
        <w:rPr>
          <w:rFonts w:hint="eastAsia"/>
        </w:rPr>
        <w:t>保养的一般方法和基本要求。</w:t>
      </w:r>
    </w:p>
    <w:p>
      <w:pPr>
        <w:pStyle w:val="19"/>
        <w:rPr>
          <w:rFonts w:ascii="Times New Roman"/>
        </w:rPr>
      </w:pPr>
      <w:r>
        <w:rPr>
          <w:rFonts w:ascii="Times New Roman"/>
        </w:rPr>
        <w:t>本</w:t>
      </w:r>
      <w:r>
        <w:rPr>
          <w:rFonts w:hint="eastAsia" w:ascii="Times New Roman"/>
          <w:lang w:val="en-US" w:eastAsia="zh-CN"/>
        </w:rPr>
        <w:t>文件适用于核电厂125MW容量及以上容量的凝汽式汽轮机。</w:t>
      </w:r>
      <w:r>
        <w:rPr>
          <w:rFonts w:ascii="Times New Roman"/>
        </w:rPr>
        <w:t>其他</w:t>
      </w:r>
      <w:r>
        <w:rPr>
          <w:rFonts w:hint="eastAsia" w:ascii="Times New Roman"/>
          <w:lang w:val="en-US" w:eastAsia="zh-CN"/>
        </w:rPr>
        <w:t>核电</w:t>
      </w:r>
      <w:r>
        <w:rPr>
          <w:rFonts w:ascii="Times New Roman"/>
        </w:rPr>
        <w:t>汽轮机组也可参照执行，进口机组按照制造厂说明说进行保养，若制造厂无这方面具体说明，也可以参照本标准执行。</w:t>
      </w:r>
    </w:p>
    <w:p>
      <w:pPr>
        <w:pStyle w:val="38"/>
      </w:pPr>
      <w:bookmarkStart w:id="21" w:name="_Toc475687366"/>
      <w:bookmarkStart w:id="22" w:name="_Toc201584719"/>
      <w:r>
        <w:rPr>
          <w:rFonts w:hint="eastAsia"/>
        </w:rPr>
        <w:t>规范性引用文件</w:t>
      </w:r>
      <w:bookmarkEnd w:id="21"/>
      <w:bookmarkEnd w:id="22"/>
    </w:p>
    <w:p>
      <w:pPr>
        <w:pStyle w:val="19"/>
        <w:rPr>
          <w:rFonts w:ascii="Times New Roman"/>
        </w:rPr>
      </w:pPr>
      <w:r>
        <w:rPr>
          <w:rFonts w:hint="eastAsia"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19"/>
        <w:rPr>
          <w:rFonts w:hint="eastAsia" w:ascii="Times New Roman"/>
          <w:lang w:val="en-US" w:eastAsia="zh-CN"/>
        </w:rPr>
      </w:pPr>
      <w:r>
        <w:rPr>
          <w:rFonts w:hint="eastAsia" w:ascii="Times New Roman"/>
          <w:lang w:val="en-US" w:eastAsia="zh-CN"/>
        </w:rPr>
        <w:t>GB/T 35683-2017                 核电厂常规岛（压水堆）汽轮机规范</w:t>
      </w:r>
    </w:p>
    <w:p>
      <w:pPr>
        <w:pStyle w:val="19"/>
        <w:rPr>
          <w:rFonts w:hint="default" w:ascii="Times New Roman"/>
          <w:lang w:val="en-US" w:eastAsia="zh-CN"/>
        </w:rPr>
      </w:pPr>
      <w:r>
        <w:rPr>
          <w:rFonts w:hint="eastAsia" w:ascii="Times New Roman"/>
          <w:lang w:val="en-US" w:eastAsia="zh-CN"/>
        </w:rPr>
        <w:t>GB/T 19292.1-2018/ISO 9223:2012  金属和合金的腐蚀</w:t>
      </w:r>
    </w:p>
    <w:p>
      <w:pPr>
        <w:pStyle w:val="19"/>
        <w:rPr>
          <w:rFonts w:ascii="Times New Roman"/>
        </w:rPr>
      </w:pPr>
      <w:r>
        <w:rPr>
          <w:rFonts w:hint="eastAsia" w:ascii="Times New Roman"/>
          <w:lang w:val="en-US" w:eastAsia="zh-CN"/>
        </w:rPr>
        <w:t>NB/T 10600-2021                 核电厂汽轮机保养规范</w:t>
      </w:r>
    </w:p>
    <w:p>
      <w:pPr>
        <w:pStyle w:val="38"/>
      </w:pPr>
      <w:bookmarkStart w:id="23" w:name="_Toc475687367"/>
      <w:bookmarkEnd w:id="23"/>
      <w:bookmarkStart w:id="24" w:name="_Toc201584720"/>
      <w:r>
        <w:rPr>
          <w:rFonts w:hint="eastAsia"/>
        </w:rPr>
        <w:t>术语和定义</w:t>
      </w:r>
      <w:bookmarkEnd w:id="24"/>
    </w:p>
    <w:p>
      <w:pPr>
        <w:pStyle w:val="19"/>
        <w:rPr>
          <w:rFonts w:hint="default" w:ascii="Times New Roman"/>
          <w:lang w:val="en-US"/>
        </w:rPr>
      </w:pPr>
      <w:r>
        <w:rPr>
          <w:rFonts w:hint="eastAsia" w:ascii="Times New Roman"/>
          <w:lang w:val="en-US" w:eastAsia="zh-CN"/>
        </w:rPr>
        <w:t>GB/T 35683-2017   界定的术语和定义适用本文件</w:t>
      </w:r>
    </w:p>
    <w:p>
      <w:pPr>
        <w:pStyle w:val="38"/>
        <w:rPr>
          <w:rFonts w:ascii="Times New Roman"/>
        </w:rPr>
      </w:pPr>
      <w:bookmarkStart w:id="25" w:name="_Toc201584722"/>
      <w:r>
        <w:rPr>
          <w:rFonts w:hint="eastAsia" w:ascii="Times New Roman"/>
          <w:lang w:val="en-US" w:eastAsia="zh-CN"/>
        </w:rPr>
        <w:t>汽轮机保养</w:t>
      </w:r>
      <w:bookmarkEnd w:id="25"/>
    </w:p>
    <w:p>
      <w:pPr>
        <w:pStyle w:val="35"/>
        <w:rPr>
          <w:rFonts w:ascii="Times New Roman"/>
        </w:rPr>
      </w:pPr>
      <w:bookmarkStart w:id="26" w:name="_Toc201584724"/>
      <w:r>
        <w:rPr>
          <w:rFonts w:ascii="Times New Roman"/>
        </w:rPr>
        <w:t>核电汽轮机</w:t>
      </w:r>
      <w:bookmarkEnd w:id="26"/>
      <w:r>
        <w:rPr>
          <w:rFonts w:hint="eastAsia" w:ascii="Times New Roman"/>
          <w:lang w:val="en-US" w:eastAsia="zh-CN"/>
        </w:rPr>
        <w:t>零部件备件保养要求</w:t>
      </w:r>
    </w:p>
    <w:p>
      <w:pPr>
        <w:pStyle w:val="146"/>
        <w:numPr>
          <w:ilvl w:val="0"/>
          <w:numId w:val="0"/>
        </w:numPr>
        <w:ind w:firstLine="630" w:firstLineChars="300"/>
        <w:rPr>
          <w:rFonts w:hint="eastAsia" w:ascii="Times New Roman"/>
          <w:lang w:val="en-US" w:eastAsia="zh-CN"/>
        </w:rPr>
      </w:pPr>
      <w:r>
        <w:rPr>
          <w:rFonts w:ascii="Times New Roman"/>
        </w:rPr>
        <w:t>核电汽轮机</w:t>
      </w:r>
      <w:r>
        <w:rPr>
          <w:rFonts w:hint="eastAsia" w:ascii="Times New Roman"/>
          <w:lang w:val="en-US" w:eastAsia="zh-CN"/>
        </w:rPr>
        <w:t>零部件备件</w:t>
      </w:r>
      <w:r>
        <w:rPr>
          <w:rFonts w:hint="eastAsia"/>
          <w:lang w:val="en-US" w:eastAsia="zh-CN"/>
        </w:rPr>
        <w:t xml:space="preserve">分类及对应的备件保养要求参照 </w:t>
      </w:r>
      <w:r>
        <w:rPr>
          <w:rFonts w:hint="eastAsia" w:ascii="Times New Roman"/>
          <w:lang w:val="en-US" w:eastAsia="zh-CN"/>
        </w:rPr>
        <w:t>NB/T 10600-2021执行 。</w:t>
      </w:r>
    </w:p>
    <w:p>
      <w:pPr>
        <w:pStyle w:val="35"/>
        <w:rPr>
          <w:rFonts w:ascii="Times New Roman"/>
          <w:lang w:val="en-US" w:eastAsia="zh-CN"/>
        </w:rPr>
      </w:pPr>
      <w:r>
        <w:rPr>
          <w:rFonts w:hint="eastAsia" w:ascii="Times New Roman"/>
          <w:lang w:val="en-US" w:eastAsia="zh-CN"/>
        </w:rPr>
        <w:t>大修期间汽轮机关键零部件现场保养规范</w:t>
      </w:r>
    </w:p>
    <w:p>
      <w:pPr>
        <w:pStyle w:val="39"/>
        <w:bidi w:val="0"/>
        <w:ind w:left="0" w:leftChars="0" w:firstLine="0" w:firstLineChars="0"/>
        <w:rPr>
          <w:rFonts w:hint="eastAsia" w:ascii="宋体" w:hAnsi="宋体" w:eastAsia="宋体" w:cs="宋体"/>
          <w:lang w:val="en-US" w:eastAsia="zh-CN"/>
        </w:rPr>
      </w:pPr>
      <w:r>
        <w:rPr>
          <w:rFonts w:hint="eastAsia" w:ascii="宋体" w:hAnsi="宋体" w:eastAsia="宋体" w:cs="宋体"/>
          <w:lang w:val="en-US" w:eastAsia="zh-CN"/>
        </w:rPr>
        <w:t>汽轮机转子在现场检修支架存放时，每隔2周要求对转子翻身一次（即沿圆周方向旋转180°）。在翻身前要求检查转子托架各附件完好，具备可翻动条件，在转子翻身过程中做好保护措施，防止转子倾斜，翻身后如发现有锈蚀现象应立即除锈。</w:t>
      </w:r>
    </w:p>
    <w:p>
      <w:pPr>
        <w:pStyle w:val="39"/>
        <w:bidi w:val="0"/>
        <w:ind w:left="16" w:leftChars="0" w:hanging="16" w:hangingChars="8"/>
        <w:rPr>
          <w:rFonts w:hint="eastAsia" w:ascii="宋体" w:hAnsi="宋体" w:eastAsia="宋体" w:cs="宋体"/>
          <w:lang w:val="en-US" w:eastAsia="zh-CN"/>
        </w:rPr>
      </w:pPr>
      <w:r>
        <w:rPr>
          <w:rFonts w:hint="eastAsia" w:ascii="宋体" w:hAnsi="宋体" w:eastAsia="宋体" w:cs="宋体"/>
          <w:lang w:val="en-US" w:eastAsia="zh-CN"/>
        </w:rPr>
        <w:t>汽轮机隔板存放过程中应放置在木板或专用的隔板架上，并且根据不同缸体的隔板分区存放，不得堆压。发现隔板有锈蚀时，应除锈防腐处理。</w:t>
      </w:r>
    </w:p>
    <w:p>
      <w:pPr>
        <w:pStyle w:val="39"/>
        <w:bidi w:val="0"/>
        <w:ind w:left="16" w:leftChars="0" w:hanging="16" w:hangingChars="8"/>
        <w:rPr>
          <w:rFonts w:hint="eastAsia" w:ascii="宋体" w:hAnsi="宋体" w:eastAsia="宋体" w:cs="宋体"/>
          <w:lang w:val="en-US" w:eastAsia="zh-CN"/>
        </w:rPr>
      </w:pPr>
      <w:r>
        <w:rPr>
          <w:rFonts w:hint="eastAsia" w:ascii="宋体" w:hAnsi="宋体" w:eastAsia="宋体" w:cs="宋体"/>
          <w:lang w:val="en-US" w:eastAsia="zh-CN"/>
        </w:rPr>
        <w:t>汽轮机汽缸法兰面、中分面等精加工表面应用砂布清理表面浮锈，汽缸中分面需铺设胶皮或专用铝合金检修平台。检修期间对缸体管口用木板或铝合金板制作专门堵板封堵，待扣缸前再拆除汽缸堵板，并对汽缸吹扫干净，确保无异物和灰尘。</w:t>
      </w:r>
    </w:p>
    <w:p>
      <w:pPr>
        <w:pStyle w:val="39"/>
        <w:bidi w:val="0"/>
        <w:ind w:left="16" w:leftChars="0" w:hanging="16" w:hangingChars="8"/>
        <w:rPr>
          <w:rFonts w:hint="eastAsia" w:ascii="Times New Roman"/>
          <w:lang w:val="en-US" w:eastAsia="zh-CN"/>
        </w:rPr>
      </w:pPr>
      <w:r>
        <w:rPr>
          <w:rFonts w:hint="eastAsia" w:ascii="宋体" w:hAnsi="宋体" w:eastAsia="宋体" w:cs="宋体"/>
          <w:lang w:val="en-US" w:eastAsia="zh-CN"/>
        </w:rPr>
        <w:t>汽轮机轴承应保持油孔的清洁，轴承应用清洗剂清洗完毕后，再用压缩空气吹干，严防铁屑、杂质颗粒等异物落入油孔。发现轴承壳体有表面浮锈时，用砂布清理表面浮锈并上油保养。</w:t>
      </w:r>
    </w:p>
    <w:p>
      <w:pPr>
        <w:pStyle w:val="35"/>
        <w:rPr>
          <w:rFonts w:ascii="Times New Roman"/>
        </w:rPr>
      </w:pPr>
      <w:bookmarkStart w:id="27" w:name="_Toc201584725"/>
      <w:r>
        <w:rPr>
          <w:rFonts w:hint="eastAsia" w:ascii="Times New Roman"/>
          <w:lang w:val="en-US" w:eastAsia="zh-CN"/>
        </w:rPr>
        <w:t>核电</w:t>
      </w:r>
      <w:r>
        <w:rPr>
          <w:rFonts w:hint="eastAsia" w:ascii="Times New Roman"/>
        </w:rPr>
        <w:t>汽轮机</w:t>
      </w:r>
      <w:r>
        <w:rPr>
          <w:rFonts w:hint="eastAsia" w:ascii="Times New Roman"/>
          <w:lang w:val="en-US" w:eastAsia="zh-CN"/>
        </w:rPr>
        <w:t>大修期间</w:t>
      </w:r>
      <w:r>
        <w:rPr>
          <w:rFonts w:hint="eastAsia" w:ascii="Times New Roman"/>
        </w:rPr>
        <w:t>保养规范</w:t>
      </w:r>
      <w:bookmarkEnd w:id="27"/>
    </w:p>
    <w:p>
      <w:pPr>
        <w:pStyle w:val="39"/>
        <w:spacing w:before="156" w:after="156"/>
        <w:ind w:left="0" w:leftChars="0" w:firstLine="0" w:firstLineChars="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核电汽轮机零部件材质大部分为碳钢，</w:t>
      </w:r>
      <w:r>
        <w:rPr>
          <w:rFonts w:hint="eastAsia" w:ascii="Times New Roman" w:eastAsia="宋体" w:cs="Times New Roman"/>
          <w:sz w:val="21"/>
          <w:szCs w:val="21"/>
          <w:lang w:val="en-US" w:eastAsia="zh-CN" w:bidi="ar-SA"/>
        </w:rPr>
        <w:t>参考GB/T 19292.1-2018/I</w:t>
      </w:r>
      <w:r>
        <w:rPr>
          <w:rFonts w:hint="eastAsia" w:ascii="Times New Roman" w:eastAsia="宋体" w:cs="Times New Roman"/>
          <w:sz w:val="21"/>
          <w:szCs w:val="21"/>
          <w:u w:val="dotted"/>
          <w:lang w:val="en-US" w:eastAsia="zh-CN" w:bidi="ar-SA"/>
        </w:rPr>
        <w:t>SO 9223:2012第1部分</w:t>
      </w:r>
      <w:r>
        <w:rPr>
          <w:rFonts w:hint="eastAsia" w:ascii="Times New Roman" w:eastAsia="宋体" w:cs="Times New Roman"/>
          <w:sz w:val="21"/>
          <w:szCs w:val="21"/>
          <w:lang w:val="en-US" w:eastAsia="zh-CN" w:bidi="ar-SA"/>
        </w:rPr>
        <w:t xml:space="preserve"> ，碳钢在空气相对湿度高于临界值60%RH，碳钢的腐蚀速度会急剧增大。汽轮机保养根据环境湿度的限值为60%RH，超过限值应及时开展汽轮机保养</w:t>
      </w:r>
      <w:r>
        <w:rPr>
          <w:rFonts w:hint="eastAsia" w:ascii="宋体" w:hAnsi="Times New Roman" w:eastAsia="宋体" w:cs="Times New Roman"/>
          <w:sz w:val="21"/>
          <w:lang w:val="en-US" w:eastAsia="zh-CN" w:bidi="ar-SA"/>
        </w:rPr>
        <w:t>。</w:t>
      </w:r>
    </w:p>
    <w:p>
      <w:pPr>
        <w:pStyle w:val="39"/>
        <w:spacing w:before="156" w:after="156"/>
        <w:ind w:left="0" w:leftChars="0" w:firstLine="0" w:firstLineChars="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汽轮机</w:t>
      </w:r>
      <w:r>
        <w:rPr>
          <w:rFonts w:hint="eastAsia" w:ascii="宋体" w:eastAsia="宋体" w:cs="Times New Roman"/>
          <w:sz w:val="21"/>
          <w:lang w:val="en-US" w:eastAsia="zh-CN" w:bidi="ar-SA"/>
        </w:rPr>
        <w:t>发电机机组大修，汽轮机没有开缸检修任务，停运时间</w:t>
      </w:r>
      <w:r>
        <w:rPr>
          <w:rFonts w:hint="eastAsia" w:ascii="宋体" w:hAnsi="Times New Roman" w:eastAsia="宋体" w:cs="Times New Roman"/>
          <w:sz w:val="21"/>
          <w:lang w:val="en-US" w:eastAsia="zh-CN" w:bidi="ar-SA"/>
        </w:rPr>
        <w:t>超过</w:t>
      </w:r>
      <w:r>
        <w:rPr>
          <w:rFonts w:hint="eastAsia" w:ascii="宋体" w:eastAsia="宋体" w:cs="Times New Roman"/>
          <w:sz w:val="21"/>
          <w:lang w:val="en-US" w:eastAsia="zh-CN" w:bidi="ar-SA"/>
        </w:rPr>
        <w:t>一</w:t>
      </w:r>
      <w:r>
        <w:rPr>
          <w:rFonts w:hint="eastAsia" w:ascii="宋体" w:hAnsi="Times New Roman" w:eastAsia="宋体" w:cs="Times New Roman"/>
          <w:sz w:val="21"/>
          <w:lang w:val="en-US" w:eastAsia="zh-CN" w:bidi="ar-SA"/>
        </w:rPr>
        <w:t>周，汽轮机应采用压缩空气或干风对汽轮机进行保养。</w:t>
      </w:r>
    </w:p>
    <w:p>
      <w:pPr>
        <w:pStyle w:val="39"/>
        <w:spacing w:before="156" w:after="156"/>
        <w:ind w:left="0" w:leftChars="0" w:firstLine="0" w:firstLineChars="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汽轮机进行保养前应确认，与汽轮机相连接的抽汽管道、疏水管道上的疏水阀已开启，放尽余汽和疏水</w:t>
      </w:r>
      <w:r>
        <w:rPr>
          <w:rFonts w:hint="eastAsia" w:ascii="宋体" w:eastAsia="宋体" w:cs="Times New Roman"/>
          <w:sz w:val="21"/>
          <w:lang w:val="en-US" w:eastAsia="zh-CN" w:bidi="ar-SA"/>
        </w:rPr>
        <w:t>，</w:t>
      </w:r>
      <w:r>
        <w:rPr>
          <w:rFonts w:hint="eastAsia" w:ascii="宋体" w:hAnsi="Times New Roman" w:eastAsia="宋体" w:cs="Times New Roman"/>
          <w:sz w:val="21"/>
          <w:lang w:val="en-US" w:eastAsia="zh-CN" w:bidi="ar-SA"/>
        </w:rPr>
        <w:t>汽轮机本体有关的汽水管道上的阀门均已关闭。</w:t>
      </w:r>
    </w:p>
    <w:p>
      <w:pPr>
        <w:pStyle w:val="39"/>
        <w:spacing w:before="156" w:after="156"/>
        <w:ind w:left="0" w:leftChars="0" w:firstLine="0" w:firstLineChars="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典型的保养方式如图1-图3所示：</w:t>
      </w:r>
    </w:p>
    <w:p>
      <w:pPr>
        <w:pStyle w:val="19"/>
        <w:ind w:left="0" w:leftChars="0" w:firstLine="420" w:firstLineChars="0"/>
        <w:rPr>
          <w:rFonts w:hint="eastAsia" w:ascii="Times New Roman"/>
          <w:lang w:val="en-US" w:eastAsia="zh-CN"/>
        </w:rPr>
      </w:pPr>
      <w:r>
        <w:rPr>
          <w:rFonts w:hint="eastAsia"/>
          <w:lang w:val="en-US" w:eastAsia="zh-CN"/>
        </w:rPr>
        <w:t>图1为再热主汽阀、再热调节阀不开启情况下的低压缸单独干风保养方式。通过打开汽轮机低压缸人孔，将两台干风保养装置分别安装在人孔门接口处，并在人孔处做好防异物措施，防止异物落入，同时打开凝汽器人孔门。</w:t>
      </w:r>
      <w:r>
        <w:rPr>
          <w:rFonts w:hint="eastAsia" w:ascii="Times New Roman"/>
          <w:lang w:val="en-US" w:eastAsia="zh-CN"/>
        </w:rPr>
        <w:t>启动连接好的干风保养装置，干空气进入汽缸、低压加热器、凝汽器，最终从凝汽器人孔排出，汽缸内风压宜小于0.04MPa。</w:t>
      </w:r>
    </w:p>
    <w:p>
      <w:pPr>
        <w:pStyle w:val="19"/>
        <w:ind w:left="0" w:leftChars="0" w:firstLine="420" w:firstLineChars="0"/>
        <w:rPr>
          <w:rFonts w:hint="default" w:ascii="Times New Roman"/>
          <w:lang w:val="en-US" w:eastAsia="zh-CN"/>
        </w:rPr>
      </w:pPr>
      <w:r>
        <w:rPr>
          <w:rFonts w:hint="eastAsia" w:ascii="Times New Roman"/>
          <w:lang w:val="en-US" w:eastAsia="zh-CN"/>
        </w:rPr>
        <w:t>图2-1为再热主汽阀、再热调节阀不开启情况下的高压缸单独干风保养方式。方式一：通过打开一台汽水分离再热器人孔门，将一台干风保养装置安装至打开的汽水分离再热器人孔处，并在人孔处做好防异物措施，防止异物落入，同时打开凝汽器人孔门。启动连接好的干风保养装置，干空气通过汽水分离再热器进入壳侧疏水箱、一级疏水箱，最终进入凝汽器，通过凝汽器人孔门排出。另一列干风通过汽水分离再热器进入高压缸排气管道再依次进入高压缸到主蒸汽母管，然后经过旁路管道或通过壳侧疏水箱、一级疏水箱，最终进入凝汽器通过凝汽器人孔门排出。方式二：在高压缸排汽管道人孔处增加干风保养装置，反向送风，最终通过凝汽器排出。</w:t>
      </w:r>
    </w:p>
    <w:p>
      <w:pPr>
        <w:pStyle w:val="19"/>
        <w:ind w:left="0" w:leftChars="0" w:firstLine="420" w:firstLineChars="0"/>
        <w:rPr>
          <w:rFonts w:hint="default" w:ascii="Times New Roman"/>
          <w:lang w:val="en-US" w:eastAsia="zh-CN"/>
        </w:rPr>
      </w:pPr>
      <w:r>
        <w:rPr>
          <w:rFonts w:hint="eastAsia" w:ascii="Times New Roman"/>
          <w:lang w:val="en-US" w:eastAsia="zh-CN"/>
        </w:rPr>
        <w:t>图2-2为再热主汽阀、再热调节阀不开启情况下的高压缸单独采用压缩空气保养方式。通过打开高压缸进气口设置的隔离阀，并采用压缩空气软管连接，通过压缩空气逐级自流方法，最后在端部汽封处流出。</w:t>
      </w:r>
    </w:p>
    <w:p>
      <w:pPr>
        <w:pStyle w:val="19"/>
        <w:ind w:left="0" w:leftChars="0" w:firstLine="420" w:firstLineChars="0"/>
        <w:rPr>
          <w:rFonts w:hint="eastAsia" w:ascii="Times New Roman"/>
          <w:lang w:val="en-US" w:eastAsia="zh-CN"/>
        </w:rPr>
      </w:pPr>
      <w:r>
        <w:rPr>
          <w:rFonts w:hint="eastAsia" w:ascii="Times New Roman"/>
          <w:lang w:val="en-US" w:eastAsia="zh-CN"/>
        </w:rPr>
        <w:t>图3为再热主汽阀、再热调节阀均开启的情况下的高、低压缸在汽水分离再热器人孔处接入的联合保养方式。通过打开A、B列汽水分离再热器人孔门进气，</w:t>
      </w:r>
      <w:r>
        <w:rPr>
          <w:rFonts w:hint="eastAsia"/>
          <w:lang w:val="en-US" w:eastAsia="zh-CN"/>
        </w:rPr>
        <w:t>将两台干风保养装置分别安装在人孔门接口处，并在人孔处做好防异物措施，防止异物落入，同时打开凝汽器人孔门。</w:t>
      </w:r>
      <w:r>
        <w:rPr>
          <w:rFonts w:hint="eastAsia" w:ascii="Times New Roman"/>
          <w:lang w:val="en-US" w:eastAsia="zh-CN"/>
        </w:rPr>
        <w:t>启动两台干风保养装置，干空气进入汽水分离再热器，然后分别进入高压缸、通过再热主汽阀、再热调节阀以及低压连通管道进入低压缸，最后排至凝汽器，通过凝汽器人孔门排出，汽缸内风压宜小于0.04MPa。</w:t>
      </w:r>
    </w:p>
    <w:p>
      <w:pPr>
        <w:pStyle w:val="39"/>
        <w:spacing w:before="156" w:after="156"/>
        <w:ind w:left="0" w:leftChars="0" w:firstLine="0" w:firstLineChars="0"/>
        <w:rPr>
          <w:rFonts w:hint="default"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汽轮机</w:t>
      </w:r>
      <w:r>
        <w:rPr>
          <w:rFonts w:hint="eastAsia" w:ascii="宋体" w:eastAsia="宋体" w:cs="Times New Roman"/>
          <w:sz w:val="21"/>
          <w:lang w:val="en-US" w:eastAsia="zh-CN" w:bidi="ar-SA"/>
        </w:rPr>
        <w:t>应定期</w:t>
      </w:r>
      <w:r>
        <w:rPr>
          <w:rFonts w:hint="eastAsia" w:ascii="宋体" w:hAnsi="Times New Roman" w:eastAsia="宋体" w:cs="Times New Roman"/>
          <w:sz w:val="21"/>
          <w:lang w:val="en-US" w:eastAsia="zh-CN" w:bidi="ar-SA"/>
        </w:rPr>
        <w:t>开展湿度测量，根据</w:t>
      </w:r>
      <w:r>
        <w:rPr>
          <w:rFonts w:hint="eastAsia" w:ascii="宋体" w:eastAsia="宋体" w:cs="Times New Roman"/>
          <w:sz w:val="21"/>
          <w:lang w:val="en-US" w:eastAsia="zh-CN" w:bidi="ar-SA"/>
        </w:rPr>
        <w:t>附</w:t>
      </w:r>
      <w:r>
        <w:rPr>
          <w:rFonts w:hint="eastAsia" w:ascii="宋体" w:hAnsi="Times New Roman" w:eastAsia="宋体" w:cs="Times New Roman"/>
          <w:sz w:val="21"/>
          <w:lang w:val="en-US" w:eastAsia="zh-CN" w:bidi="ar-SA"/>
        </w:rPr>
        <w:t>表</w:t>
      </w:r>
      <w:r>
        <w:rPr>
          <w:rFonts w:hint="eastAsia" w:ascii="宋体" w:eastAsia="宋体" w:cs="Times New Roman"/>
          <w:sz w:val="21"/>
          <w:lang w:val="en-US" w:eastAsia="zh-CN" w:bidi="ar-SA"/>
        </w:rPr>
        <w:t>A.1</w:t>
      </w:r>
      <w:r>
        <w:rPr>
          <w:rFonts w:hint="eastAsia" w:ascii="宋体" w:hAnsi="Times New Roman" w:eastAsia="宋体" w:cs="Times New Roman"/>
          <w:sz w:val="21"/>
          <w:lang w:val="en-US" w:eastAsia="zh-CN" w:bidi="ar-SA"/>
        </w:rPr>
        <w:t>进行记录。</w:t>
      </w:r>
    </w:p>
    <w:p>
      <w:pPr>
        <w:pStyle w:val="19"/>
        <w:ind w:left="0" w:leftChars="0" w:firstLine="0" w:firstLineChars="0"/>
        <w:rPr>
          <w:rFonts w:hint="default"/>
          <w:lang w:val="en-US" w:eastAsia="zh-CN"/>
        </w:rPr>
      </w:pPr>
      <w:r>
        <w:rPr>
          <w:rFonts w:hint="eastAsia"/>
          <w:lang w:val="en-US" w:eastAsia="zh-CN"/>
        </w:rPr>
        <w:t xml:space="preserve">    </w:t>
      </w:r>
    </w:p>
    <w:p>
      <w:pPr>
        <w:pStyle w:val="47"/>
        <w:numPr>
          <w:ilvl w:val="0"/>
          <w:numId w:val="0"/>
        </w:numPr>
        <w:tabs>
          <w:tab w:val="clear" w:pos="1260"/>
        </w:tabs>
        <w:ind w:left="840"/>
        <w:jc w:val="center"/>
      </w:pPr>
      <w:r>
        <w:object>
          <v:shape id="_x0000_i1025" o:spt="75" type="#_x0000_t75" style="height:230.8pt;width:342.95pt;" o:ole="t" filled="f" o:preferrelative="t" stroked="f" coordsize="21600,21600">
            <v:path/>
            <v:fill on="f" focussize="0,0"/>
            <v:stroke on="f"/>
            <v:imagedata r:id="rId13" cropleft="15565f" o:title=""/>
            <o:lock v:ext="edit" aspectratio="t"/>
            <w10:wrap type="none"/>
            <w10:anchorlock/>
          </v:shape>
          <o:OLEObject Type="Embed" ProgID="Visio.Drawing.11" ShapeID="_x0000_i1025" DrawAspect="Content" ObjectID="_1468075725" r:id="rId12">
            <o:LockedField>false</o:LockedField>
          </o:OLEObject>
        </w:object>
      </w:r>
    </w:p>
    <w:p>
      <w:pPr>
        <w:pStyle w:val="129"/>
      </w:pPr>
      <w:r>
        <w:rPr>
          <w:rFonts w:hint="eastAsia"/>
          <w:lang w:val="en-US" w:eastAsia="zh-CN"/>
        </w:rPr>
        <w:t xml:space="preserve">  低压缸单独干风</w:t>
      </w:r>
      <w:r>
        <w:rPr>
          <w:rFonts w:hint="eastAsia"/>
        </w:rPr>
        <w:t>保养流程示意图</w:t>
      </w:r>
    </w:p>
    <w:p>
      <w:pPr>
        <w:pStyle w:val="19"/>
      </w:pPr>
    </w:p>
    <w:p>
      <w:pPr>
        <w:pStyle w:val="19"/>
        <w:ind w:left="0" w:leftChars="0" w:firstLine="0" w:firstLineChars="0"/>
        <w:rPr>
          <w:rFonts w:hint="eastAsia"/>
        </w:rPr>
      </w:pPr>
    </w:p>
    <w:p>
      <w:pPr>
        <w:pStyle w:val="129"/>
        <w:numPr>
          <w:ilvl w:val="0"/>
          <w:numId w:val="0"/>
        </w:numPr>
      </w:pPr>
      <w:r>
        <w:object>
          <v:shape id="_x0000_i1026" o:spt="75" type="#_x0000_t75" style="height:196.7pt;width:385.85pt;" o:ole="t" filled="f" o:preferrelative="t" stroked="f" coordsize="21600,21600">
            <v:path/>
            <v:fill on="f" focussize="0,0"/>
            <v:stroke on="f"/>
            <v:imagedata r:id="rId15" o:title=""/>
            <o:lock v:ext="edit" aspectratio="t"/>
            <w10:wrap type="none"/>
            <w10:anchorlock/>
          </v:shape>
          <o:OLEObject Type="Embed" ProgID="Visio.Drawing.11" ShapeID="_x0000_i1026" DrawAspect="Content" ObjectID="_1468075726" r:id="rId14">
            <o:LockedField>false</o:LockedField>
          </o:OLEObject>
        </w:object>
      </w:r>
    </w:p>
    <w:p>
      <w:pPr>
        <w:pStyle w:val="129"/>
        <w:numPr>
          <w:ilvl w:val="0"/>
          <w:numId w:val="0"/>
        </w:numPr>
        <w:ind w:leftChars="0"/>
        <w:jc w:val="center"/>
      </w:pPr>
      <w:r>
        <w:rPr>
          <w:rFonts w:hint="eastAsia"/>
          <w:lang w:val="en-US" w:eastAsia="zh-CN"/>
        </w:rPr>
        <w:t>图2-1   高压缸单独干风</w:t>
      </w:r>
      <w:r>
        <w:rPr>
          <w:rFonts w:hint="eastAsia"/>
        </w:rPr>
        <w:t>保养流程示意图</w:t>
      </w:r>
    </w:p>
    <w:p>
      <w:pPr>
        <w:pStyle w:val="19"/>
      </w:pPr>
      <w:r>
        <w:object>
          <v:shape id="_x0000_i1027" o:spt="75" type="#_x0000_t75" style="height:243.25pt;width:399.05pt;" o:ole="t" filled="f" o:preferrelative="t" stroked="f" coordsize="21600,21600">
            <v:path/>
            <v:fill on="f" focussize="0,0"/>
            <v:stroke on="f"/>
            <v:imagedata r:id="rId17" o:title=""/>
            <o:lock v:ext="edit" aspectratio="t"/>
            <w10:wrap type="none"/>
            <w10:anchorlock/>
          </v:shape>
          <o:OLEObject Type="Embed" ProgID="Visio.Drawing.11" ShapeID="_x0000_i1027" DrawAspect="Content" ObjectID="_1468075727" r:id="rId16">
            <o:LockedField>false</o:LockedField>
          </o:OLEObject>
        </w:object>
      </w:r>
    </w:p>
    <w:p>
      <w:pPr>
        <w:pStyle w:val="129"/>
        <w:numPr>
          <w:ilvl w:val="0"/>
          <w:numId w:val="0"/>
        </w:numPr>
        <w:ind w:leftChars="0"/>
        <w:jc w:val="center"/>
      </w:pPr>
      <w:r>
        <w:rPr>
          <w:rFonts w:hint="eastAsia"/>
          <w:lang w:val="en-US" w:eastAsia="zh-CN"/>
        </w:rPr>
        <w:t>图2-2   高压缸单独压缩空气</w:t>
      </w:r>
      <w:r>
        <w:rPr>
          <w:rFonts w:hint="eastAsia"/>
        </w:rPr>
        <w:t>保养流程示意图</w:t>
      </w:r>
    </w:p>
    <w:p>
      <w:pPr>
        <w:pStyle w:val="19"/>
        <w:rPr>
          <w:rFonts w:hint="eastAsia"/>
        </w:rPr>
      </w:pPr>
    </w:p>
    <w:p>
      <w:pPr>
        <w:pStyle w:val="19"/>
      </w:pPr>
    </w:p>
    <w:p>
      <w:pPr>
        <w:pStyle w:val="47"/>
        <w:numPr>
          <w:ilvl w:val="0"/>
          <w:numId w:val="0"/>
        </w:numPr>
        <w:tabs>
          <w:tab w:val="clear" w:pos="1260"/>
        </w:tabs>
        <w:jc w:val="center"/>
      </w:pPr>
      <w:r>
        <w:object>
          <v:shape id="_x0000_i1028" o:spt="75" type="#_x0000_t75" style="height:243.25pt;width:399.05pt;" o:ole="t" filled="f" o:preferrelative="t" stroked="f" coordsize="21600,21600">
            <v:path/>
            <v:fill on="f" focussize="0,0"/>
            <v:stroke on="f"/>
            <v:imagedata r:id="rId19" o:title=""/>
            <o:lock v:ext="edit" aspectratio="t"/>
            <w10:wrap type="none"/>
            <w10:anchorlock/>
          </v:shape>
          <o:OLEObject Type="Embed" ProgID="Visio.Drawing.11" ShapeID="_x0000_i1028" DrawAspect="Content" ObjectID="_1468075728" r:id="rId18">
            <o:LockedField>false</o:LockedField>
          </o:OLEObject>
        </w:object>
      </w:r>
    </w:p>
    <w:p>
      <w:pPr>
        <w:pStyle w:val="129"/>
        <w:numPr>
          <w:ilvl w:val="0"/>
          <w:numId w:val="0"/>
        </w:numPr>
        <w:ind w:leftChars="0"/>
        <w:jc w:val="center"/>
        <w:rPr>
          <w:rFonts w:hint="eastAsia"/>
        </w:rPr>
      </w:pPr>
      <w:r>
        <w:rPr>
          <w:rFonts w:hint="eastAsia"/>
          <w:lang w:val="en-US" w:eastAsia="zh-CN"/>
        </w:rPr>
        <w:t>图3     高、低压缸联合干风</w:t>
      </w:r>
      <w:r>
        <w:rPr>
          <w:rFonts w:hint="eastAsia"/>
        </w:rPr>
        <w:t>保养流程示意图</w:t>
      </w:r>
    </w:p>
    <w:p>
      <w:pPr>
        <w:pStyle w:val="19"/>
        <w:ind w:left="0" w:leftChars="0" w:firstLine="0" w:firstLineChars="0"/>
        <w:rPr>
          <w:rFonts w:hint="eastAsia"/>
        </w:rPr>
      </w:pPr>
    </w:p>
    <w:p>
      <w:pPr>
        <w:pStyle w:val="19"/>
        <w:ind w:left="0" w:leftChars="0" w:firstLine="0" w:firstLineChars="0"/>
        <w:rPr>
          <w:rFonts w:hint="eastAsia"/>
        </w:rPr>
      </w:pPr>
    </w:p>
    <w:p>
      <w:pPr>
        <w:pStyle w:val="19"/>
        <w:ind w:left="0" w:leftChars="0" w:firstLine="0" w:firstLineChars="0"/>
        <w:rPr>
          <w:rFonts w:hint="eastAsia"/>
        </w:rPr>
      </w:pPr>
    </w:p>
    <w:p>
      <w:pPr>
        <w:pStyle w:val="19"/>
        <w:ind w:left="0" w:leftChars="0" w:firstLine="0" w:firstLineChars="0"/>
        <w:rPr>
          <w:rFonts w:hint="eastAsia"/>
        </w:rPr>
      </w:pPr>
    </w:p>
    <w:p>
      <w:pPr>
        <w:pStyle w:val="35"/>
      </w:pPr>
      <w:bookmarkStart w:id="28" w:name="_Toc201584726"/>
      <w:r>
        <w:rPr>
          <w:rFonts w:hint="eastAsia"/>
          <w:lang w:val="en-US" w:eastAsia="zh-CN"/>
        </w:rPr>
        <w:t>核电</w:t>
      </w:r>
      <w:r>
        <w:rPr>
          <w:rFonts w:hint="eastAsia"/>
        </w:rPr>
        <w:t>汽轮</w:t>
      </w:r>
      <w:r>
        <w:rPr>
          <w:rFonts w:hint="eastAsia"/>
          <w:lang w:val="en-US" w:eastAsia="zh-CN"/>
        </w:rPr>
        <w:t>机小修期间</w:t>
      </w:r>
      <w:r>
        <w:rPr>
          <w:rFonts w:hint="eastAsia"/>
        </w:rPr>
        <w:t>保养规范</w:t>
      </w:r>
      <w:bookmarkEnd w:id="28"/>
    </w:p>
    <w:p>
      <w:pPr>
        <w:pStyle w:val="39"/>
        <w:spacing w:before="156" w:after="156"/>
        <w:ind w:left="0" w:leftChars="0" w:firstLine="0" w:firstLineChars="0"/>
        <w:rPr>
          <w:rFonts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汽轮机</w:t>
      </w:r>
      <w:r>
        <w:rPr>
          <w:rFonts w:hint="eastAsia" w:ascii="Times New Roman" w:eastAsia="宋体" w:cs="Times New Roman"/>
          <w:sz w:val="21"/>
          <w:lang w:val="en-US" w:eastAsia="zh-CN" w:bidi="ar-SA"/>
        </w:rPr>
        <w:t>小修</w:t>
      </w:r>
      <w:r>
        <w:rPr>
          <w:rFonts w:hint="eastAsia" w:ascii="Times New Roman" w:hAnsi="Times New Roman" w:eastAsia="宋体" w:cs="Times New Roman"/>
          <w:sz w:val="21"/>
          <w:lang w:val="en-US" w:eastAsia="zh-CN" w:bidi="ar-SA"/>
        </w:rPr>
        <w:t>停机时间</w:t>
      </w:r>
      <w:r>
        <w:rPr>
          <w:rFonts w:hint="eastAsia" w:ascii="Times New Roman" w:eastAsia="宋体" w:cs="Times New Roman"/>
          <w:sz w:val="21"/>
          <w:lang w:val="en-US" w:eastAsia="zh-CN" w:bidi="ar-SA"/>
        </w:rPr>
        <w:t>在1周之内时，参考附录图B.1。凝汽器汽侧若真空破坏，隔绝一切可能进入汽轮机内部的汽、水系统并开启汽轮机本体疏水阀、主蒸汽管道、抽汽管道、旁路系统汽机侧所有疏水阀门，凝汽器热阱内部积水放尽；若凝汽器真空不破坏，应维持汽轮机抽真空系统，并保持汽轮机盘车状态。</w:t>
      </w:r>
    </w:p>
    <w:p>
      <w:pPr>
        <w:pStyle w:val="39"/>
        <w:spacing w:before="156" w:after="156"/>
        <w:ind w:left="0" w:leftChars="0" w:firstLine="0" w:firstLineChars="0"/>
        <w:rPr>
          <w:rFonts w:hint="default"/>
          <w:lang w:val="en-US" w:eastAsia="zh-CN"/>
        </w:rPr>
      </w:pPr>
      <w:r>
        <w:rPr>
          <w:rFonts w:hint="eastAsia" w:ascii="Times New Roman" w:hAnsi="Times New Roman" w:eastAsia="宋体" w:cs="Times New Roman"/>
          <w:sz w:val="21"/>
          <w:szCs w:val="21"/>
          <w:lang w:val="en-US" w:eastAsia="zh-CN" w:bidi="ar-SA"/>
        </w:rPr>
        <w:t>汽轮机</w:t>
      </w:r>
      <w:r>
        <w:rPr>
          <w:rFonts w:hint="eastAsia" w:ascii="Times New Roman" w:eastAsia="宋体" w:cs="Times New Roman"/>
          <w:sz w:val="21"/>
          <w:szCs w:val="21"/>
          <w:lang w:val="en-US" w:eastAsia="zh-CN" w:bidi="ar-SA"/>
        </w:rPr>
        <w:t>小修</w:t>
      </w:r>
      <w:r>
        <w:rPr>
          <w:rFonts w:hint="eastAsia" w:ascii="Times New Roman" w:hAnsi="Times New Roman" w:eastAsia="宋体" w:cs="Times New Roman"/>
          <w:sz w:val="21"/>
          <w:szCs w:val="21"/>
          <w:lang w:val="en-US" w:eastAsia="zh-CN" w:bidi="ar-SA"/>
        </w:rPr>
        <w:t>停机时间超过</w:t>
      </w:r>
      <w:r>
        <w:rPr>
          <w:rFonts w:hint="eastAsia" w:ascii="Times New Roman" w:eastAsia="宋体" w:cs="Times New Roman"/>
          <w:sz w:val="21"/>
          <w:szCs w:val="21"/>
          <w:lang w:val="en-US" w:eastAsia="zh-CN" w:bidi="ar-SA"/>
        </w:rPr>
        <w:t>1</w:t>
      </w:r>
      <w:r>
        <w:rPr>
          <w:rFonts w:hint="eastAsia" w:ascii="Times New Roman" w:hAnsi="Times New Roman" w:eastAsia="宋体" w:cs="Times New Roman"/>
          <w:sz w:val="21"/>
          <w:szCs w:val="21"/>
          <w:lang w:val="en-US" w:eastAsia="zh-CN" w:bidi="ar-SA"/>
        </w:rPr>
        <w:t>周时</w:t>
      </w:r>
      <w:r>
        <w:rPr>
          <w:rFonts w:hint="eastAsia" w:ascii="Times New Roman" w:eastAsia="宋体" w:cs="Times New Roman"/>
          <w:sz w:val="21"/>
          <w:szCs w:val="21"/>
          <w:lang w:val="en-US" w:eastAsia="zh-CN" w:bidi="ar-SA"/>
        </w:rPr>
        <w:t>，参考附录图B.1</w:t>
      </w:r>
      <w:r>
        <w:rPr>
          <w:rFonts w:hint="eastAsia" w:ascii="Times New Roman" w:hAnsi="Times New Roman" w:eastAsia="宋体" w:cs="Times New Roman"/>
          <w:sz w:val="21"/>
          <w:szCs w:val="21"/>
          <w:lang w:val="en-US" w:eastAsia="zh-CN" w:bidi="ar-SA"/>
        </w:rPr>
        <w:t>。应采用图3</w:t>
      </w:r>
      <w:r>
        <w:rPr>
          <w:rFonts w:hint="eastAsia" w:ascii="Times New Roman" w:eastAsia="宋体" w:cs="Times New Roman"/>
          <w:sz w:val="21"/>
          <w:szCs w:val="21"/>
          <w:lang w:val="en-US" w:eastAsia="zh-CN" w:bidi="ar-SA"/>
        </w:rPr>
        <w:t>将</w:t>
      </w:r>
      <w:r>
        <w:rPr>
          <w:rFonts w:hint="eastAsia" w:ascii="Times New Roman" w:hAnsi="Times New Roman" w:eastAsia="宋体" w:cs="Times New Roman"/>
          <w:sz w:val="21"/>
          <w:szCs w:val="21"/>
          <w:lang w:val="en-US" w:eastAsia="zh-CN" w:bidi="ar-SA"/>
        </w:rPr>
        <w:t>再热主汽阀、再热调节阀均开启的情况下</w:t>
      </w:r>
      <w:r>
        <w:rPr>
          <w:rFonts w:hint="eastAsia" w:ascii="Times New Roman" w:eastAsia="宋体" w:cs="Times New Roman"/>
          <w:sz w:val="21"/>
          <w:szCs w:val="21"/>
          <w:lang w:val="en-US" w:eastAsia="zh-CN" w:bidi="ar-SA"/>
        </w:rPr>
        <w:t>进行</w:t>
      </w:r>
      <w:r>
        <w:rPr>
          <w:rFonts w:hint="eastAsia" w:ascii="Times New Roman" w:hAnsi="Times New Roman" w:eastAsia="宋体" w:cs="Times New Roman"/>
          <w:sz w:val="21"/>
          <w:szCs w:val="21"/>
          <w:lang w:val="en-US" w:eastAsia="zh-CN" w:bidi="ar-SA"/>
        </w:rPr>
        <w:t>高、低压缸联合保养</w:t>
      </w:r>
      <w:r>
        <w:rPr>
          <w:rFonts w:hint="eastAsia" w:ascii="Times New Roman"/>
          <w:lang w:val="en-US" w:eastAsia="zh-CN"/>
        </w:rPr>
        <w:t>。</w:t>
      </w:r>
    </w:p>
    <w:p>
      <w:pPr>
        <w:pStyle w:val="39"/>
        <w:spacing w:before="156" w:after="156"/>
        <w:ind w:left="0" w:leftChars="0" w:firstLine="0" w:firstLineChars="0"/>
        <w:rPr>
          <w:rFonts w:hint="default" w:ascii="Times New Roman" w:eastAsia="宋体" w:cs="Times New Roman"/>
          <w:sz w:val="21"/>
          <w:szCs w:val="21"/>
          <w:lang w:val="en-US" w:eastAsia="zh-CN" w:bidi="ar-SA"/>
        </w:rPr>
      </w:pPr>
      <w:r>
        <w:rPr>
          <w:rFonts w:hint="eastAsia" w:ascii="Times New Roman" w:eastAsia="宋体" w:cs="Times New Roman"/>
          <w:sz w:val="21"/>
          <w:szCs w:val="21"/>
          <w:lang w:val="en-US" w:eastAsia="zh-CN" w:bidi="ar-SA"/>
        </w:rPr>
        <w:t>各核电站在役运行期间，需要执行汽轮机保养在机组小修和大修停机两种状态。结合两种状态，可根据汽轮机厂房室内湿度和检修任务统筹汽轮机保养计划。在高压缸温度降到室温，低压缸介质排空的前提下，可参考下表1对汽轮机进行保养：</w:t>
      </w:r>
    </w:p>
    <w:p>
      <w:pPr>
        <w:pStyle w:val="19"/>
        <w:jc w:val="center"/>
        <w:rPr>
          <w:rFonts w:hint="default"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 xml:space="preserve">表 </w:t>
      </w:r>
      <w:r>
        <w:rPr>
          <w:rFonts w:hint="eastAsia" w:ascii="黑体" w:eastAsia="黑体" w:cs="Times New Roman"/>
          <w:sz w:val="21"/>
          <w:lang w:val="en-US" w:eastAsia="zh-CN" w:bidi="ar-SA"/>
        </w:rPr>
        <w:t>1</w:t>
      </w:r>
      <w:r>
        <w:rPr>
          <w:rFonts w:hint="eastAsia" w:ascii="黑体" w:hAnsi="Times New Roman" w:eastAsia="黑体" w:cs="Times New Roman"/>
          <w:sz w:val="21"/>
          <w:lang w:val="en-US" w:eastAsia="zh-CN" w:bidi="ar-SA"/>
        </w:rPr>
        <w:t xml:space="preserve">  两种状态下</w:t>
      </w:r>
      <w:r>
        <w:rPr>
          <w:rFonts w:hint="eastAsia" w:ascii="黑体" w:eastAsia="黑体" w:cs="Times New Roman"/>
          <w:sz w:val="21"/>
          <w:lang w:val="en-US" w:eastAsia="zh-CN" w:bidi="ar-SA"/>
        </w:rPr>
        <w:t>汽轮机</w:t>
      </w:r>
      <w:r>
        <w:rPr>
          <w:rFonts w:hint="eastAsia" w:ascii="黑体" w:hAnsi="Times New Roman" w:eastAsia="黑体" w:cs="Times New Roman"/>
          <w:sz w:val="21"/>
          <w:lang w:val="en-US" w:eastAsia="zh-CN" w:bidi="ar-SA"/>
        </w:rPr>
        <w:t>保养</w:t>
      </w:r>
      <w:r>
        <w:rPr>
          <w:rFonts w:hint="eastAsia" w:ascii="黑体" w:eastAsia="黑体" w:cs="Times New Roman"/>
          <w:sz w:val="21"/>
          <w:lang w:val="en-US" w:eastAsia="zh-CN" w:bidi="ar-SA"/>
        </w:rPr>
        <w:t>方式</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1"/>
        <w:gridCol w:w="1296"/>
        <w:gridCol w:w="3588"/>
        <w:gridCol w:w="3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1" w:type="dxa"/>
            <w:vAlign w:val="center"/>
          </w:tcPr>
          <w:p>
            <w:pPr>
              <w:pStyle w:val="19"/>
              <w:ind w:left="0" w:leftChars="0" w:firstLine="0" w:firstLineChars="0"/>
              <w:jc w:val="center"/>
              <w:rPr>
                <w:rFonts w:hint="default"/>
                <w:szCs w:val="18"/>
                <w:vertAlign w:val="baseline"/>
                <w:lang w:val="en-US" w:eastAsia="zh-CN"/>
              </w:rPr>
            </w:pPr>
            <w:r>
              <w:rPr>
                <w:rFonts w:hint="eastAsia"/>
                <w:szCs w:val="18"/>
                <w:vertAlign w:val="baseline"/>
                <w:lang w:val="en-US" w:eastAsia="zh-CN"/>
              </w:rPr>
              <w:t>机组状态</w:t>
            </w:r>
          </w:p>
        </w:tc>
        <w:tc>
          <w:tcPr>
            <w:tcW w:w="1296" w:type="dxa"/>
            <w:vAlign w:val="center"/>
          </w:tcPr>
          <w:p>
            <w:pPr>
              <w:pStyle w:val="19"/>
              <w:ind w:left="0" w:leftChars="0" w:firstLine="210" w:firstLineChars="100"/>
              <w:jc w:val="both"/>
              <w:rPr>
                <w:rFonts w:hint="default"/>
                <w:szCs w:val="18"/>
                <w:vertAlign w:val="baseline"/>
                <w:lang w:val="en-US" w:eastAsia="zh-CN"/>
              </w:rPr>
            </w:pPr>
            <w:r>
              <w:rPr>
                <w:rFonts w:hint="eastAsia"/>
                <w:szCs w:val="18"/>
                <w:vertAlign w:val="baseline"/>
                <w:lang w:val="en-US" w:eastAsia="zh-CN"/>
              </w:rPr>
              <w:t>缸 体</w:t>
            </w:r>
          </w:p>
        </w:tc>
        <w:tc>
          <w:tcPr>
            <w:tcW w:w="3588" w:type="dxa"/>
            <w:vAlign w:val="center"/>
          </w:tcPr>
          <w:p>
            <w:pPr>
              <w:pStyle w:val="19"/>
              <w:jc w:val="center"/>
              <w:rPr>
                <w:rFonts w:hint="default"/>
                <w:szCs w:val="18"/>
                <w:vertAlign w:val="baseline"/>
                <w:lang w:val="en-US" w:eastAsia="zh-CN"/>
              </w:rPr>
            </w:pPr>
            <w:r>
              <w:rPr>
                <w:rFonts w:hint="eastAsia"/>
                <w:szCs w:val="18"/>
                <w:vertAlign w:val="baseline"/>
                <w:lang w:val="en-US" w:eastAsia="zh-CN"/>
              </w:rPr>
              <w:t>保养条件</w:t>
            </w:r>
          </w:p>
        </w:tc>
        <w:tc>
          <w:tcPr>
            <w:tcW w:w="3126" w:type="dxa"/>
            <w:vAlign w:val="center"/>
          </w:tcPr>
          <w:p>
            <w:pPr>
              <w:pStyle w:val="19"/>
              <w:jc w:val="center"/>
              <w:rPr>
                <w:rFonts w:hint="default"/>
                <w:szCs w:val="18"/>
                <w:vertAlign w:val="baseline"/>
                <w:lang w:val="en-US" w:eastAsia="zh-CN"/>
              </w:rPr>
            </w:pPr>
            <w:r>
              <w:rPr>
                <w:rFonts w:hint="eastAsia"/>
                <w:szCs w:val="18"/>
                <w:vertAlign w:val="baseline"/>
                <w:lang w:val="en-US" w:eastAsia="zh-CN"/>
              </w:rPr>
              <w:t>保养方式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1" w:type="dxa"/>
            <w:vMerge w:val="restart"/>
            <w:vAlign w:val="center"/>
          </w:tcPr>
          <w:p>
            <w:pPr>
              <w:pStyle w:val="19"/>
              <w:ind w:left="0" w:leftChars="0" w:firstLine="210" w:firstLineChars="100"/>
              <w:jc w:val="both"/>
              <w:rPr>
                <w:rFonts w:hint="default"/>
                <w:szCs w:val="18"/>
                <w:vertAlign w:val="baseline"/>
                <w:lang w:val="en-US" w:eastAsia="zh-CN"/>
              </w:rPr>
            </w:pPr>
            <w:r>
              <w:rPr>
                <w:rFonts w:hint="eastAsia"/>
                <w:szCs w:val="18"/>
                <w:vertAlign w:val="baseline"/>
                <w:lang w:val="en-US" w:eastAsia="zh-CN"/>
              </w:rPr>
              <w:t>小  修</w:t>
            </w:r>
          </w:p>
        </w:tc>
        <w:tc>
          <w:tcPr>
            <w:tcW w:w="1296" w:type="dxa"/>
            <w:vAlign w:val="center"/>
          </w:tcPr>
          <w:p>
            <w:pPr>
              <w:pStyle w:val="19"/>
              <w:ind w:left="0" w:leftChars="0" w:firstLine="0" w:firstLineChars="0"/>
              <w:jc w:val="center"/>
              <w:rPr>
                <w:rFonts w:hint="default"/>
                <w:szCs w:val="18"/>
                <w:vertAlign w:val="baseline"/>
                <w:lang w:val="en-US" w:eastAsia="zh-CN"/>
              </w:rPr>
            </w:pPr>
            <w:r>
              <w:rPr>
                <w:rFonts w:hint="eastAsia"/>
                <w:szCs w:val="18"/>
                <w:vertAlign w:val="baseline"/>
                <w:lang w:val="en-US" w:eastAsia="zh-CN"/>
              </w:rPr>
              <w:t>高压缸</w:t>
            </w:r>
          </w:p>
        </w:tc>
        <w:tc>
          <w:tcPr>
            <w:tcW w:w="3588" w:type="dxa"/>
            <w:vAlign w:val="center"/>
          </w:tcPr>
          <w:p>
            <w:pPr>
              <w:pStyle w:val="19"/>
              <w:numPr>
                <w:ilvl w:val="0"/>
                <w:numId w:val="18"/>
              </w:numPr>
              <w:ind w:left="0" w:leftChars="0" w:firstLine="0" w:firstLineChars="0"/>
              <w:jc w:val="left"/>
              <w:rPr>
                <w:rFonts w:hint="eastAsia"/>
                <w:szCs w:val="18"/>
                <w:vertAlign w:val="baseline"/>
                <w:lang w:val="en-US" w:eastAsia="zh-CN"/>
              </w:rPr>
            </w:pPr>
            <w:r>
              <w:rPr>
                <w:rFonts w:hint="eastAsia"/>
                <w:szCs w:val="18"/>
                <w:vertAlign w:val="baseline"/>
                <w:lang w:val="en-US" w:eastAsia="zh-CN"/>
              </w:rPr>
              <w:t>汽缸温度达到室温</w:t>
            </w:r>
          </w:p>
          <w:p>
            <w:pPr>
              <w:pStyle w:val="19"/>
              <w:numPr>
                <w:ilvl w:val="0"/>
                <w:numId w:val="18"/>
              </w:numPr>
              <w:ind w:left="0" w:leftChars="0" w:firstLine="0" w:firstLineChars="0"/>
              <w:jc w:val="left"/>
              <w:rPr>
                <w:rFonts w:hint="default"/>
                <w:szCs w:val="18"/>
                <w:vertAlign w:val="baseline"/>
                <w:lang w:val="en-US" w:eastAsia="zh-CN"/>
              </w:rPr>
            </w:pPr>
            <w:r>
              <w:rPr>
                <w:rFonts w:hint="eastAsia"/>
                <w:szCs w:val="18"/>
                <w:vertAlign w:val="baseline"/>
                <w:lang w:val="en-US" w:eastAsia="zh-CN"/>
              </w:rPr>
              <w:t>两周内无启动计划</w:t>
            </w:r>
          </w:p>
        </w:tc>
        <w:tc>
          <w:tcPr>
            <w:tcW w:w="3126" w:type="dxa"/>
            <w:vAlign w:val="center"/>
          </w:tcPr>
          <w:p>
            <w:pPr>
              <w:pStyle w:val="19"/>
              <w:ind w:left="0" w:leftChars="0" w:firstLine="0" w:firstLineChars="0"/>
              <w:jc w:val="left"/>
              <w:rPr>
                <w:rFonts w:hint="default"/>
                <w:szCs w:val="18"/>
                <w:vertAlign w:val="baseline"/>
                <w:lang w:val="en-US" w:eastAsia="zh-CN"/>
              </w:rPr>
            </w:pPr>
            <w:r>
              <w:rPr>
                <w:rFonts w:hint="eastAsia"/>
                <w:szCs w:val="18"/>
                <w:vertAlign w:val="baseline"/>
                <w:lang w:val="en-US" w:eastAsia="zh-CN"/>
              </w:rPr>
              <w:t>压缩空气保养或干风保养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1" w:type="dxa"/>
            <w:vMerge w:val="continue"/>
            <w:vAlign w:val="center"/>
          </w:tcPr>
          <w:p>
            <w:pPr>
              <w:pStyle w:val="19"/>
              <w:jc w:val="center"/>
              <w:rPr>
                <w:rFonts w:hint="default"/>
                <w:szCs w:val="18"/>
                <w:vertAlign w:val="baseline"/>
                <w:lang w:val="en-US" w:eastAsia="zh-CN"/>
              </w:rPr>
            </w:pPr>
          </w:p>
        </w:tc>
        <w:tc>
          <w:tcPr>
            <w:tcW w:w="1296" w:type="dxa"/>
            <w:vMerge w:val="restart"/>
            <w:vAlign w:val="center"/>
          </w:tcPr>
          <w:p>
            <w:pPr>
              <w:pStyle w:val="19"/>
              <w:ind w:left="0" w:leftChars="0" w:firstLine="0" w:firstLineChars="0"/>
              <w:jc w:val="center"/>
              <w:rPr>
                <w:rFonts w:hint="default"/>
                <w:szCs w:val="18"/>
                <w:vertAlign w:val="baseline"/>
                <w:lang w:val="en-US" w:eastAsia="zh-CN"/>
              </w:rPr>
            </w:pPr>
            <w:r>
              <w:rPr>
                <w:rFonts w:hint="eastAsia"/>
                <w:szCs w:val="18"/>
                <w:vertAlign w:val="baseline"/>
                <w:lang w:val="en-US" w:eastAsia="zh-CN"/>
              </w:rPr>
              <w:t>低压缸</w:t>
            </w:r>
          </w:p>
        </w:tc>
        <w:tc>
          <w:tcPr>
            <w:tcW w:w="3588" w:type="dxa"/>
            <w:vAlign w:val="center"/>
          </w:tcPr>
          <w:p>
            <w:pPr>
              <w:pStyle w:val="19"/>
              <w:numPr>
                <w:ilvl w:val="0"/>
                <w:numId w:val="0"/>
              </w:numPr>
              <w:jc w:val="left"/>
              <w:rPr>
                <w:rFonts w:hint="eastAsia"/>
                <w:szCs w:val="18"/>
                <w:vertAlign w:val="baseline"/>
                <w:lang w:val="en-US" w:eastAsia="zh-CN"/>
              </w:rPr>
            </w:pPr>
            <w:r>
              <w:rPr>
                <w:rFonts w:hint="eastAsia"/>
                <w:szCs w:val="18"/>
                <w:vertAlign w:val="baseline"/>
                <w:lang w:val="en-US" w:eastAsia="zh-CN"/>
              </w:rPr>
              <w:t>1、汽缸温度达到室温</w:t>
            </w:r>
          </w:p>
          <w:p>
            <w:pPr>
              <w:pStyle w:val="19"/>
              <w:numPr>
                <w:ilvl w:val="0"/>
                <w:numId w:val="0"/>
              </w:numPr>
              <w:jc w:val="left"/>
              <w:rPr>
                <w:rFonts w:hint="eastAsia"/>
                <w:szCs w:val="18"/>
                <w:vertAlign w:val="baseline"/>
                <w:lang w:val="en-US" w:eastAsia="zh-CN"/>
              </w:rPr>
            </w:pPr>
            <w:r>
              <w:rPr>
                <w:rFonts w:hint="eastAsia"/>
                <w:szCs w:val="18"/>
                <w:vertAlign w:val="baseline"/>
                <w:lang w:val="en-US" w:eastAsia="zh-CN"/>
              </w:rPr>
              <w:t>2、两周内无启动计划</w:t>
            </w:r>
          </w:p>
          <w:p>
            <w:pPr>
              <w:pStyle w:val="19"/>
              <w:numPr>
                <w:ilvl w:val="0"/>
                <w:numId w:val="0"/>
              </w:numPr>
              <w:jc w:val="left"/>
              <w:rPr>
                <w:rFonts w:hint="default"/>
                <w:szCs w:val="18"/>
                <w:vertAlign w:val="baseline"/>
                <w:lang w:val="en-US" w:eastAsia="zh-CN"/>
              </w:rPr>
            </w:pPr>
            <w:r>
              <w:rPr>
                <w:rFonts w:hint="eastAsia"/>
                <w:szCs w:val="18"/>
                <w:vertAlign w:val="baseline"/>
                <w:lang w:val="en-US" w:eastAsia="zh-CN"/>
              </w:rPr>
              <w:t>3、汽轮机厂房内空气湿度≥60%RH</w:t>
            </w:r>
          </w:p>
        </w:tc>
        <w:tc>
          <w:tcPr>
            <w:tcW w:w="3126" w:type="dxa"/>
            <w:vAlign w:val="center"/>
          </w:tcPr>
          <w:p>
            <w:pPr>
              <w:pStyle w:val="19"/>
              <w:ind w:left="0" w:leftChars="0" w:firstLine="0" w:firstLineChars="0"/>
              <w:jc w:val="left"/>
              <w:rPr>
                <w:rFonts w:hint="default"/>
                <w:szCs w:val="18"/>
                <w:vertAlign w:val="baseline"/>
                <w:lang w:val="en-US" w:eastAsia="zh-CN"/>
              </w:rPr>
            </w:pPr>
            <w:r>
              <w:rPr>
                <w:rFonts w:hint="eastAsia"/>
                <w:szCs w:val="18"/>
                <w:vertAlign w:val="baseline"/>
                <w:lang w:val="en-US" w:eastAsia="zh-CN"/>
              </w:rPr>
              <w:t>干风保养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1" w:type="dxa"/>
            <w:vMerge w:val="continue"/>
            <w:vAlign w:val="center"/>
          </w:tcPr>
          <w:p>
            <w:pPr>
              <w:pStyle w:val="19"/>
              <w:jc w:val="center"/>
              <w:rPr>
                <w:rFonts w:hint="default"/>
                <w:szCs w:val="18"/>
                <w:vertAlign w:val="baseline"/>
                <w:lang w:val="en-US" w:eastAsia="zh-CN"/>
              </w:rPr>
            </w:pPr>
          </w:p>
        </w:tc>
        <w:tc>
          <w:tcPr>
            <w:tcW w:w="1296" w:type="dxa"/>
            <w:vMerge w:val="continue"/>
            <w:vAlign w:val="center"/>
          </w:tcPr>
          <w:p>
            <w:pPr>
              <w:pStyle w:val="19"/>
              <w:jc w:val="center"/>
              <w:rPr>
                <w:rFonts w:hint="default"/>
                <w:szCs w:val="18"/>
                <w:vertAlign w:val="baseline"/>
                <w:lang w:val="en-US" w:eastAsia="zh-CN"/>
              </w:rPr>
            </w:pPr>
          </w:p>
        </w:tc>
        <w:tc>
          <w:tcPr>
            <w:tcW w:w="3588" w:type="dxa"/>
            <w:vAlign w:val="center"/>
          </w:tcPr>
          <w:p>
            <w:pPr>
              <w:pStyle w:val="19"/>
              <w:numPr>
                <w:ilvl w:val="0"/>
                <w:numId w:val="0"/>
              </w:numPr>
              <w:jc w:val="left"/>
              <w:rPr>
                <w:rFonts w:hint="eastAsia"/>
                <w:szCs w:val="18"/>
                <w:vertAlign w:val="baseline"/>
                <w:lang w:val="en-US" w:eastAsia="zh-CN"/>
              </w:rPr>
            </w:pPr>
            <w:r>
              <w:rPr>
                <w:rFonts w:hint="eastAsia"/>
                <w:szCs w:val="18"/>
                <w:vertAlign w:val="baseline"/>
                <w:lang w:val="en-US" w:eastAsia="zh-CN"/>
              </w:rPr>
              <w:t>1、汽缸温度达到室温</w:t>
            </w:r>
          </w:p>
          <w:p>
            <w:pPr>
              <w:pStyle w:val="19"/>
              <w:numPr>
                <w:ilvl w:val="0"/>
                <w:numId w:val="0"/>
              </w:numPr>
              <w:jc w:val="left"/>
              <w:rPr>
                <w:rFonts w:hint="eastAsia"/>
                <w:szCs w:val="18"/>
                <w:vertAlign w:val="baseline"/>
                <w:lang w:val="en-US" w:eastAsia="zh-CN"/>
              </w:rPr>
            </w:pPr>
            <w:r>
              <w:rPr>
                <w:rFonts w:hint="eastAsia"/>
                <w:szCs w:val="18"/>
                <w:vertAlign w:val="baseline"/>
                <w:lang w:val="en-US" w:eastAsia="zh-CN"/>
              </w:rPr>
              <w:t>2、两周内无启动计划</w:t>
            </w:r>
          </w:p>
          <w:p>
            <w:pPr>
              <w:pStyle w:val="19"/>
              <w:ind w:left="0" w:leftChars="0" w:firstLine="0" w:firstLineChars="0"/>
              <w:jc w:val="left"/>
              <w:rPr>
                <w:rFonts w:hint="default"/>
                <w:szCs w:val="18"/>
                <w:vertAlign w:val="baseline"/>
                <w:lang w:val="en-US" w:eastAsia="zh-CN"/>
              </w:rPr>
            </w:pPr>
            <w:r>
              <w:rPr>
                <w:rFonts w:hint="eastAsia"/>
                <w:szCs w:val="18"/>
                <w:vertAlign w:val="baseline"/>
                <w:lang w:val="en-US" w:eastAsia="zh-CN"/>
              </w:rPr>
              <w:t>3、汽轮机厂房内空气湿度≤60%RH</w:t>
            </w:r>
          </w:p>
        </w:tc>
        <w:tc>
          <w:tcPr>
            <w:tcW w:w="3126" w:type="dxa"/>
            <w:vAlign w:val="center"/>
          </w:tcPr>
          <w:p>
            <w:pPr>
              <w:pStyle w:val="19"/>
              <w:ind w:left="0" w:leftChars="0" w:firstLine="0" w:firstLineChars="0"/>
              <w:jc w:val="left"/>
              <w:rPr>
                <w:rFonts w:hint="default"/>
                <w:szCs w:val="18"/>
                <w:vertAlign w:val="baseline"/>
                <w:lang w:val="en-US" w:eastAsia="zh-CN"/>
              </w:rPr>
            </w:pPr>
            <w:r>
              <w:rPr>
                <w:rFonts w:hint="eastAsia"/>
                <w:szCs w:val="18"/>
                <w:vertAlign w:val="baseline"/>
                <w:lang w:val="en-US" w:eastAsia="zh-CN"/>
              </w:rPr>
              <w:t>打开每台低压缸4个人孔，一侧人孔加装风机，另一侧人孔做排风防异物措施，形成对角通风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1" w:type="dxa"/>
            <w:vMerge w:val="restart"/>
            <w:vAlign w:val="center"/>
          </w:tcPr>
          <w:p>
            <w:pPr>
              <w:pStyle w:val="19"/>
              <w:ind w:left="0" w:leftChars="0" w:firstLine="0" w:firstLineChars="0"/>
              <w:jc w:val="center"/>
              <w:rPr>
                <w:rFonts w:hint="default"/>
                <w:szCs w:val="18"/>
                <w:vertAlign w:val="baseline"/>
                <w:lang w:val="en-US" w:eastAsia="zh-CN"/>
              </w:rPr>
            </w:pPr>
            <w:r>
              <w:rPr>
                <w:rFonts w:hint="eastAsia"/>
                <w:szCs w:val="18"/>
                <w:vertAlign w:val="baseline"/>
                <w:lang w:val="en-US" w:eastAsia="zh-CN"/>
              </w:rPr>
              <w:t>大  修</w:t>
            </w:r>
          </w:p>
        </w:tc>
        <w:tc>
          <w:tcPr>
            <w:tcW w:w="1296" w:type="dxa"/>
            <w:vAlign w:val="center"/>
          </w:tcPr>
          <w:p>
            <w:pPr>
              <w:pStyle w:val="19"/>
              <w:ind w:left="0" w:leftChars="0" w:firstLine="0" w:firstLineChars="0"/>
              <w:jc w:val="center"/>
              <w:rPr>
                <w:rFonts w:hint="default"/>
                <w:szCs w:val="18"/>
                <w:vertAlign w:val="baseline"/>
                <w:lang w:val="en-US" w:eastAsia="zh-CN"/>
              </w:rPr>
            </w:pPr>
            <w:r>
              <w:rPr>
                <w:rFonts w:hint="eastAsia"/>
                <w:szCs w:val="18"/>
                <w:vertAlign w:val="baseline"/>
                <w:lang w:val="en-US" w:eastAsia="zh-CN"/>
              </w:rPr>
              <w:t>高压缸</w:t>
            </w:r>
          </w:p>
        </w:tc>
        <w:tc>
          <w:tcPr>
            <w:tcW w:w="3588" w:type="dxa"/>
            <w:vAlign w:val="center"/>
          </w:tcPr>
          <w:p>
            <w:pPr>
              <w:pStyle w:val="19"/>
              <w:numPr>
                <w:ilvl w:val="0"/>
                <w:numId w:val="19"/>
              </w:numPr>
              <w:ind w:left="0" w:leftChars="0" w:firstLine="0" w:firstLineChars="0"/>
              <w:jc w:val="left"/>
              <w:rPr>
                <w:rFonts w:hint="eastAsia"/>
                <w:szCs w:val="18"/>
                <w:vertAlign w:val="baseline"/>
                <w:lang w:val="en-US" w:eastAsia="zh-CN"/>
              </w:rPr>
            </w:pPr>
            <w:r>
              <w:rPr>
                <w:rFonts w:hint="eastAsia"/>
                <w:szCs w:val="18"/>
                <w:vertAlign w:val="baseline"/>
                <w:lang w:val="en-US" w:eastAsia="zh-CN"/>
              </w:rPr>
              <w:t>汽缸温度达到室温</w:t>
            </w:r>
          </w:p>
          <w:p>
            <w:pPr>
              <w:pStyle w:val="19"/>
              <w:numPr>
                <w:ilvl w:val="0"/>
                <w:numId w:val="19"/>
              </w:numPr>
              <w:ind w:left="0" w:leftChars="0" w:firstLine="0" w:firstLineChars="0"/>
              <w:jc w:val="left"/>
              <w:rPr>
                <w:rFonts w:hint="default"/>
                <w:szCs w:val="18"/>
                <w:vertAlign w:val="baseline"/>
                <w:lang w:val="en-US" w:eastAsia="zh-CN"/>
              </w:rPr>
            </w:pPr>
            <w:r>
              <w:rPr>
                <w:rFonts w:hint="eastAsia"/>
                <w:szCs w:val="18"/>
                <w:vertAlign w:val="baseline"/>
                <w:lang w:val="en-US" w:eastAsia="zh-CN"/>
              </w:rPr>
              <w:t>高压缸无全面解体检修项目</w:t>
            </w:r>
          </w:p>
        </w:tc>
        <w:tc>
          <w:tcPr>
            <w:tcW w:w="3126" w:type="dxa"/>
            <w:vAlign w:val="center"/>
          </w:tcPr>
          <w:p>
            <w:pPr>
              <w:pStyle w:val="19"/>
              <w:ind w:left="0" w:leftChars="0" w:firstLine="0" w:firstLineChars="0"/>
              <w:jc w:val="left"/>
              <w:rPr>
                <w:rFonts w:hint="default"/>
                <w:szCs w:val="18"/>
                <w:vertAlign w:val="baseline"/>
                <w:lang w:val="en-US" w:eastAsia="zh-CN"/>
              </w:rPr>
            </w:pPr>
            <w:r>
              <w:rPr>
                <w:rFonts w:hint="eastAsia"/>
                <w:szCs w:val="18"/>
                <w:vertAlign w:val="baseline"/>
                <w:lang w:val="en-US" w:eastAsia="zh-CN"/>
              </w:rPr>
              <w:t>压缩空气保养或干风保养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1" w:type="dxa"/>
            <w:vMerge w:val="continue"/>
            <w:vAlign w:val="center"/>
          </w:tcPr>
          <w:p>
            <w:pPr>
              <w:pStyle w:val="19"/>
              <w:jc w:val="center"/>
              <w:rPr>
                <w:rFonts w:hint="default"/>
                <w:szCs w:val="18"/>
                <w:vertAlign w:val="baseline"/>
                <w:lang w:val="en-US" w:eastAsia="zh-CN"/>
              </w:rPr>
            </w:pPr>
          </w:p>
        </w:tc>
        <w:tc>
          <w:tcPr>
            <w:tcW w:w="1296" w:type="dxa"/>
            <w:vMerge w:val="restart"/>
            <w:vAlign w:val="center"/>
          </w:tcPr>
          <w:p>
            <w:pPr>
              <w:pStyle w:val="19"/>
              <w:ind w:left="0" w:leftChars="0" w:firstLine="0" w:firstLineChars="0"/>
              <w:jc w:val="center"/>
              <w:rPr>
                <w:rFonts w:hint="default"/>
                <w:szCs w:val="18"/>
                <w:vertAlign w:val="baseline"/>
                <w:lang w:val="en-US" w:eastAsia="zh-CN"/>
              </w:rPr>
            </w:pPr>
            <w:r>
              <w:rPr>
                <w:rFonts w:hint="eastAsia"/>
                <w:szCs w:val="18"/>
                <w:vertAlign w:val="baseline"/>
                <w:lang w:val="en-US" w:eastAsia="zh-CN"/>
              </w:rPr>
              <w:t>低压缸</w:t>
            </w:r>
          </w:p>
        </w:tc>
        <w:tc>
          <w:tcPr>
            <w:tcW w:w="3588" w:type="dxa"/>
            <w:vAlign w:val="center"/>
          </w:tcPr>
          <w:p>
            <w:pPr>
              <w:pStyle w:val="19"/>
              <w:numPr>
                <w:ilvl w:val="0"/>
                <w:numId w:val="0"/>
              </w:numPr>
              <w:jc w:val="left"/>
              <w:rPr>
                <w:rFonts w:hint="eastAsia"/>
                <w:szCs w:val="18"/>
                <w:vertAlign w:val="baseline"/>
                <w:lang w:val="en-US" w:eastAsia="zh-CN"/>
              </w:rPr>
            </w:pPr>
            <w:r>
              <w:rPr>
                <w:rFonts w:hint="eastAsia"/>
                <w:szCs w:val="18"/>
                <w:vertAlign w:val="baseline"/>
                <w:lang w:val="en-US" w:eastAsia="zh-CN"/>
              </w:rPr>
              <w:t>1、汽缸温度达到室温</w:t>
            </w:r>
          </w:p>
          <w:p>
            <w:pPr>
              <w:pStyle w:val="19"/>
              <w:numPr>
                <w:ilvl w:val="0"/>
                <w:numId w:val="0"/>
              </w:numPr>
              <w:jc w:val="left"/>
              <w:rPr>
                <w:rFonts w:hint="eastAsia"/>
                <w:szCs w:val="18"/>
                <w:vertAlign w:val="baseline"/>
                <w:lang w:val="en-US" w:eastAsia="zh-CN"/>
              </w:rPr>
            </w:pPr>
            <w:r>
              <w:rPr>
                <w:rFonts w:hint="eastAsia"/>
                <w:szCs w:val="18"/>
                <w:vertAlign w:val="baseline"/>
                <w:lang w:val="en-US" w:eastAsia="zh-CN"/>
              </w:rPr>
              <w:t>2、低压缸无全面解体检修项目</w:t>
            </w:r>
          </w:p>
          <w:p>
            <w:pPr>
              <w:pStyle w:val="19"/>
              <w:numPr>
                <w:ilvl w:val="0"/>
                <w:numId w:val="0"/>
              </w:numPr>
              <w:ind w:left="0" w:leftChars="0" w:firstLine="0" w:firstLineChars="0"/>
              <w:jc w:val="left"/>
              <w:rPr>
                <w:rFonts w:hint="default"/>
                <w:szCs w:val="18"/>
                <w:vertAlign w:val="baseline"/>
                <w:lang w:val="en-US" w:eastAsia="zh-CN"/>
              </w:rPr>
            </w:pPr>
            <w:r>
              <w:rPr>
                <w:rFonts w:hint="eastAsia"/>
                <w:szCs w:val="18"/>
                <w:vertAlign w:val="baseline"/>
                <w:lang w:val="en-US" w:eastAsia="zh-CN"/>
              </w:rPr>
              <w:t>3、汽轮机厂房内空气湿度≥60%RH</w:t>
            </w:r>
          </w:p>
        </w:tc>
        <w:tc>
          <w:tcPr>
            <w:tcW w:w="3126" w:type="dxa"/>
            <w:vAlign w:val="center"/>
          </w:tcPr>
          <w:p>
            <w:pPr>
              <w:pStyle w:val="19"/>
              <w:ind w:left="0" w:leftChars="0" w:firstLine="0" w:firstLineChars="0"/>
              <w:jc w:val="left"/>
              <w:rPr>
                <w:rFonts w:hint="default"/>
                <w:szCs w:val="18"/>
                <w:vertAlign w:val="baseline"/>
                <w:lang w:val="en-US" w:eastAsia="zh-CN"/>
              </w:rPr>
            </w:pPr>
            <w:r>
              <w:rPr>
                <w:rFonts w:hint="eastAsia"/>
                <w:szCs w:val="18"/>
                <w:vertAlign w:val="baseline"/>
                <w:lang w:val="en-US" w:eastAsia="zh-CN"/>
              </w:rPr>
              <w:t>干风保养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1" w:type="dxa"/>
            <w:vMerge w:val="continue"/>
            <w:vAlign w:val="center"/>
          </w:tcPr>
          <w:p>
            <w:pPr>
              <w:pStyle w:val="19"/>
              <w:jc w:val="center"/>
              <w:rPr>
                <w:rFonts w:hint="default"/>
                <w:szCs w:val="18"/>
                <w:vertAlign w:val="baseline"/>
                <w:lang w:val="en-US" w:eastAsia="zh-CN"/>
              </w:rPr>
            </w:pPr>
          </w:p>
        </w:tc>
        <w:tc>
          <w:tcPr>
            <w:tcW w:w="1296" w:type="dxa"/>
            <w:vMerge w:val="continue"/>
            <w:vAlign w:val="center"/>
          </w:tcPr>
          <w:p>
            <w:pPr>
              <w:pStyle w:val="19"/>
              <w:jc w:val="center"/>
              <w:rPr>
                <w:rFonts w:hint="default"/>
                <w:szCs w:val="18"/>
                <w:vertAlign w:val="baseline"/>
                <w:lang w:val="en-US" w:eastAsia="zh-CN"/>
              </w:rPr>
            </w:pPr>
          </w:p>
        </w:tc>
        <w:tc>
          <w:tcPr>
            <w:tcW w:w="3588" w:type="dxa"/>
            <w:vAlign w:val="center"/>
          </w:tcPr>
          <w:p>
            <w:pPr>
              <w:pStyle w:val="19"/>
              <w:numPr>
                <w:ilvl w:val="0"/>
                <w:numId w:val="0"/>
              </w:numPr>
              <w:jc w:val="left"/>
              <w:rPr>
                <w:rFonts w:hint="eastAsia"/>
                <w:szCs w:val="18"/>
                <w:vertAlign w:val="baseline"/>
                <w:lang w:val="en-US" w:eastAsia="zh-CN"/>
              </w:rPr>
            </w:pPr>
            <w:r>
              <w:rPr>
                <w:rFonts w:hint="eastAsia"/>
                <w:szCs w:val="18"/>
                <w:vertAlign w:val="baseline"/>
                <w:lang w:val="en-US" w:eastAsia="zh-CN"/>
              </w:rPr>
              <w:t>1、汽缸温度达到室温；</w:t>
            </w:r>
          </w:p>
          <w:p>
            <w:pPr>
              <w:pStyle w:val="19"/>
              <w:numPr>
                <w:ilvl w:val="0"/>
                <w:numId w:val="0"/>
              </w:numPr>
              <w:jc w:val="left"/>
              <w:rPr>
                <w:rFonts w:hint="eastAsia"/>
                <w:szCs w:val="18"/>
                <w:vertAlign w:val="baseline"/>
                <w:lang w:val="en-US" w:eastAsia="zh-CN"/>
              </w:rPr>
            </w:pPr>
            <w:r>
              <w:rPr>
                <w:rFonts w:hint="eastAsia"/>
                <w:szCs w:val="18"/>
                <w:vertAlign w:val="baseline"/>
                <w:lang w:val="en-US" w:eastAsia="zh-CN"/>
              </w:rPr>
              <w:t>2、低压缸无全面解体检修项目</w:t>
            </w:r>
          </w:p>
          <w:p>
            <w:pPr>
              <w:pStyle w:val="19"/>
              <w:ind w:left="0" w:leftChars="0" w:firstLine="0" w:firstLineChars="0"/>
              <w:jc w:val="left"/>
              <w:rPr>
                <w:rFonts w:hint="default"/>
                <w:szCs w:val="18"/>
                <w:vertAlign w:val="baseline"/>
                <w:lang w:val="en-US" w:eastAsia="zh-CN"/>
              </w:rPr>
            </w:pPr>
            <w:r>
              <w:rPr>
                <w:rFonts w:hint="eastAsia"/>
                <w:szCs w:val="18"/>
                <w:vertAlign w:val="baseline"/>
                <w:lang w:val="en-US" w:eastAsia="zh-CN"/>
              </w:rPr>
              <w:t>3、汽轮机厂房内空气湿度≤60%RH</w:t>
            </w:r>
          </w:p>
        </w:tc>
        <w:tc>
          <w:tcPr>
            <w:tcW w:w="3126" w:type="dxa"/>
            <w:vAlign w:val="center"/>
          </w:tcPr>
          <w:p>
            <w:pPr>
              <w:pStyle w:val="19"/>
              <w:ind w:left="0" w:leftChars="0" w:firstLine="0" w:firstLineChars="0"/>
              <w:jc w:val="left"/>
              <w:rPr>
                <w:rFonts w:hint="default"/>
                <w:szCs w:val="18"/>
                <w:vertAlign w:val="baseline"/>
                <w:lang w:val="en-US" w:eastAsia="zh-CN"/>
              </w:rPr>
            </w:pPr>
            <w:r>
              <w:rPr>
                <w:rFonts w:hint="eastAsia"/>
                <w:szCs w:val="18"/>
                <w:vertAlign w:val="baseline"/>
                <w:lang w:val="en-US" w:eastAsia="zh-CN"/>
              </w:rPr>
              <w:t>打开每台低压缸4个人孔，一侧人孔加装风机，另一侧人孔做排风防异物措施，形成对角通风</w:t>
            </w:r>
          </w:p>
        </w:tc>
      </w:tr>
    </w:tbl>
    <w:p>
      <w:pPr>
        <w:pStyle w:val="19"/>
        <w:rPr>
          <w:rFonts w:hint="default"/>
          <w:lang w:val="en-US" w:eastAsia="zh-CN"/>
        </w:rPr>
      </w:pPr>
    </w:p>
    <w:p>
      <w:pPr>
        <w:pStyle w:val="19"/>
        <w:rPr>
          <w:rFonts w:hint="default"/>
          <w:lang w:val="en-US" w:eastAsia="zh-CN"/>
        </w:rPr>
      </w:pPr>
    </w:p>
    <w:p>
      <w:pPr>
        <w:pStyle w:val="19"/>
        <w:rPr>
          <w:rFonts w:hint="default"/>
          <w:lang w:val="en-US" w:eastAsia="zh-CN"/>
        </w:rPr>
      </w:pPr>
    </w:p>
    <w:p>
      <w:pPr>
        <w:pStyle w:val="146"/>
        <w:numPr>
          <w:ilvl w:val="0"/>
          <w:numId w:val="0"/>
        </w:numPr>
        <w:autoSpaceDE w:val="0"/>
        <w:autoSpaceDN w:val="0"/>
        <w:jc w:val="both"/>
        <w:rPr>
          <w:rFonts w:hint="eastAsia" w:ascii="Times New Roman"/>
          <w:lang w:val="en-US" w:eastAsia="zh-CN"/>
        </w:rPr>
      </w:pPr>
    </w:p>
    <w:p>
      <w:pPr>
        <w:pStyle w:val="146"/>
        <w:numPr>
          <w:ilvl w:val="0"/>
          <w:numId w:val="0"/>
        </w:numPr>
        <w:autoSpaceDE w:val="0"/>
        <w:autoSpaceDN w:val="0"/>
        <w:jc w:val="both"/>
        <w:rPr>
          <w:rFonts w:hint="eastAsia" w:ascii="Times New Roman"/>
          <w:lang w:val="en-US" w:eastAsia="zh-CN"/>
        </w:rPr>
      </w:pPr>
    </w:p>
    <w:p>
      <w:pPr>
        <w:pStyle w:val="146"/>
        <w:numPr>
          <w:ilvl w:val="0"/>
          <w:numId w:val="0"/>
        </w:numPr>
        <w:autoSpaceDE w:val="0"/>
        <w:autoSpaceDN w:val="0"/>
        <w:jc w:val="both"/>
        <w:rPr>
          <w:rFonts w:hint="eastAsia" w:ascii="Times New Roman"/>
          <w:lang w:val="en-US" w:eastAsia="zh-CN"/>
        </w:rPr>
      </w:pPr>
    </w:p>
    <w:p>
      <w:pPr>
        <w:pStyle w:val="146"/>
        <w:numPr>
          <w:ilvl w:val="0"/>
          <w:numId w:val="0"/>
        </w:numPr>
        <w:autoSpaceDE w:val="0"/>
        <w:autoSpaceDN w:val="0"/>
        <w:jc w:val="both"/>
        <w:rPr>
          <w:rFonts w:hint="eastAsia" w:ascii="Times New Roman"/>
          <w:lang w:val="en-US" w:eastAsia="zh-CN"/>
        </w:rPr>
      </w:pPr>
    </w:p>
    <w:p>
      <w:pPr>
        <w:pStyle w:val="146"/>
        <w:numPr>
          <w:ilvl w:val="0"/>
          <w:numId w:val="0"/>
        </w:numPr>
        <w:autoSpaceDE w:val="0"/>
        <w:autoSpaceDN w:val="0"/>
        <w:jc w:val="both"/>
        <w:rPr>
          <w:rFonts w:hint="eastAsia" w:ascii="Times New Roman"/>
          <w:lang w:val="en-US" w:eastAsia="zh-CN"/>
        </w:rPr>
      </w:pPr>
    </w:p>
    <w:p>
      <w:pPr>
        <w:pStyle w:val="146"/>
        <w:numPr>
          <w:ilvl w:val="0"/>
          <w:numId w:val="0"/>
        </w:numPr>
        <w:autoSpaceDE w:val="0"/>
        <w:autoSpaceDN w:val="0"/>
        <w:jc w:val="both"/>
        <w:rPr>
          <w:rFonts w:hint="eastAsia" w:ascii="Times New Roman"/>
          <w:lang w:val="en-US" w:eastAsia="zh-CN"/>
        </w:rPr>
      </w:pPr>
    </w:p>
    <w:p>
      <w:pPr>
        <w:pStyle w:val="146"/>
        <w:numPr>
          <w:ilvl w:val="0"/>
          <w:numId w:val="0"/>
        </w:numPr>
        <w:autoSpaceDE w:val="0"/>
        <w:autoSpaceDN w:val="0"/>
        <w:jc w:val="both"/>
        <w:rPr>
          <w:rFonts w:hint="eastAsia" w:ascii="Times New Roman"/>
          <w:lang w:val="en-US" w:eastAsia="zh-CN"/>
        </w:rPr>
      </w:pPr>
    </w:p>
    <w:p>
      <w:pPr>
        <w:pStyle w:val="146"/>
        <w:numPr>
          <w:ilvl w:val="0"/>
          <w:numId w:val="0"/>
        </w:numPr>
        <w:autoSpaceDE w:val="0"/>
        <w:autoSpaceDN w:val="0"/>
        <w:jc w:val="both"/>
        <w:rPr>
          <w:rFonts w:hint="eastAsia" w:ascii="Times New Roman"/>
          <w:lang w:val="en-US" w:eastAsia="zh-CN"/>
        </w:rPr>
      </w:pPr>
    </w:p>
    <w:p>
      <w:pPr>
        <w:pStyle w:val="146"/>
        <w:numPr>
          <w:ilvl w:val="0"/>
          <w:numId w:val="0"/>
        </w:numPr>
        <w:autoSpaceDE w:val="0"/>
        <w:autoSpaceDN w:val="0"/>
        <w:jc w:val="both"/>
        <w:rPr>
          <w:rFonts w:hint="eastAsia" w:ascii="Times New Roman"/>
          <w:lang w:val="en-US" w:eastAsia="zh-CN"/>
        </w:rPr>
      </w:pPr>
    </w:p>
    <w:p>
      <w:pPr>
        <w:pStyle w:val="146"/>
        <w:numPr>
          <w:ilvl w:val="0"/>
          <w:numId w:val="0"/>
        </w:numPr>
        <w:autoSpaceDE w:val="0"/>
        <w:autoSpaceDN w:val="0"/>
        <w:jc w:val="both"/>
        <w:rPr>
          <w:rFonts w:hint="eastAsia" w:ascii="Times New Roman"/>
          <w:lang w:val="en-US" w:eastAsia="zh-CN"/>
        </w:rPr>
      </w:pPr>
    </w:p>
    <w:p>
      <w:pPr>
        <w:pStyle w:val="146"/>
        <w:numPr>
          <w:ilvl w:val="0"/>
          <w:numId w:val="0"/>
        </w:numPr>
        <w:autoSpaceDE w:val="0"/>
        <w:autoSpaceDN w:val="0"/>
        <w:jc w:val="both"/>
        <w:rPr>
          <w:rFonts w:hint="eastAsia" w:ascii="Times New Roman"/>
          <w:lang w:val="en-US" w:eastAsia="zh-CN"/>
        </w:rPr>
      </w:pPr>
    </w:p>
    <w:p>
      <w:pPr>
        <w:pStyle w:val="146"/>
        <w:numPr>
          <w:ilvl w:val="0"/>
          <w:numId w:val="0"/>
        </w:numPr>
        <w:autoSpaceDE w:val="0"/>
        <w:autoSpaceDN w:val="0"/>
        <w:jc w:val="both"/>
        <w:rPr>
          <w:rFonts w:hint="eastAsia" w:ascii="Times New Roman"/>
          <w:lang w:val="en-US" w:eastAsia="zh-CN"/>
        </w:rPr>
      </w:pPr>
    </w:p>
    <w:p>
      <w:pPr>
        <w:pStyle w:val="79"/>
      </w:pPr>
      <w:bookmarkStart w:id="29" w:name="_Toc201584728"/>
      <w:bookmarkEnd w:id="29"/>
    </w:p>
    <w:p>
      <w:pPr>
        <w:pStyle w:val="77"/>
      </w:pPr>
      <w:r>
        <w:br w:type="textWrapping"/>
      </w:r>
      <w:bookmarkStart w:id="30" w:name="_Toc201584729"/>
      <w:r>
        <w:rPr>
          <w:rFonts w:hint="eastAsia"/>
        </w:rPr>
        <w:t>（规范性附录）</w:t>
      </w:r>
      <w:r>
        <w:br w:type="textWrapping"/>
      </w:r>
      <w:r>
        <w:rPr>
          <w:rFonts w:hint="eastAsia"/>
          <w:lang w:val="en-US" w:eastAsia="zh-CN"/>
        </w:rPr>
        <w:t>汽轮机</w:t>
      </w:r>
      <w:r>
        <w:rPr>
          <w:rFonts w:hint="eastAsia"/>
        </w:rPr>
        <w:t>保养逻辑框图</w:t>
      </w:r>
      <w:bookmarkEnd w:id="30"/>
    </w:p>
    <w:p>
      <w:pPr>
        <w:pStyle w:val="19"/>
        <w:rPr>
          <w:rFonts w:hint="eastAsia"/>
          <w:lang w:eastAsia="zh-CN"/>
        </w:rPr>
      </w:pPr>
      <w:r>
        <w:rPr>
          <w:rFonts w:hint="eastAsia"/>
          <w:lang w:val="en-US" w:eastAsia="zh-CN"/>
        </w:rPr>
        <w:t>A.1 汽轮机湿度测量记录表 A</w:t>
      </w:r>
      <w:r>
        <w:rPr>
          <w:rFonts w:hint="eastAsia"/>
        </w:rPr>
        <w:t>.</w:t>
      </w:r>
      <w:r>
        <w:rPr>
          <w:rFonts w:hint="eastAsia"/>
          <w:lang w:val="en-US" w:eastAsia="zh-CN"/>
        </w:rPr>
        <w:t>1</w:t>
      </w:r>
      <w:r>
        <w:rPr>
          <w:rFonts w:hint="eastAsia"/>
          <w:lang w:eastAsia="zh-CN"/>
        </w:rPr>
        <w:t>。</w:t>
      </w:r>
    </w:p>
    <w:p>
      <w:pPr>
        <w:pStyle w:val="19"/>
        <w:rPr>
          <w:rFonts w:hint="eastAsia"/>
          <w:lang w:eastAsia="zh-CN"/>
        </w:rPr>
      </w:pPr>
    </w:p>
    <w:p>
      <w:pPr>
        <w:pStyle w:val="19"/>
        <w:ind w:firstLine="422"/>
        <w:jc w:val="center"/>
        <w:rPr>
          <w:rFonts w:hint="default" w:eastAsia="宋体"/>
          <w:b/>
          <w:bCs/>
          <w:lang w:val="en-US" w:eastAsia="zh-CN"/>
        </w:rPr>
      </w:pPr>
      <w:r>
        <w:rPr>
          <w:rFonts w:hint="eastAsia"/>
          <w:b/>
          <w:bCs/>
        </w:rPr>
        <w:t xml:space="preserve">表 </w:t>
      </w:r>
      <w:r>
        <w:rPr>
          <w:rFonts w:hint="eastAsia"/>
          <w:b/>
          <w:bCs/>
          <w:lang w:val="en-US" w:eastAsia="zh-CN"/>
        </w:rPr>
        <w:t>A</w:t>
      </w:r>
      <w:r>
        <w:rPr>
          <w:rFonts w:hint="eastAsia"/>
          <w:b/>
          <w:bCs/>
        </w:rPr>
        <w:t>.</w:t>
      </w:r>
      <w:r>
        <w:rPr>
          <w:rFonts w:hint="eastAsia"/>
          <w:b/>
          <w:bCs/>
          <w:lang w:val="en-US" w:eastAsia="zh-CN"/>
        </w:rPr>
        <w:t>1</w:t>
      </w:r>
      <w:r>
        <w:rPr>
          <w:rFonts w:hint="eastAsia"/>
          <w:b/>
          <w:bCs/>
        </w:rPr>
        <w:t xml:space="preserve"> </w:t>
      </w:r>
      <w:r>
        <w:rPr>
          <w:rFonts w:hint="eastAsia"/>
          <w:b/>
          <w:bCs/>
          <w:lang w:val="en-US" w:eastAsia="zh-CN"/>
        </w:rPr>
        <w:t>汽轮机湿度测量记录表</w:t>
      </w:r>
      <w:r>
        <w:rPr>
          <w:rFonts w:hint="eastAsia"/>
          <w:b/>
          <w:bCs/>
          <w:lang w:eastAsia="zh-CN"/>
        </w:rPr>
        <w:t>（</w:t>
      </w:r>
      <w:r>
        <w:rPr>
          <w:rFonts w:hint="eastAsia"/>
          <w:b/>
          <w:bCs/>
          <w:lang w:val="en-US" w:eastAsia="zh-CN"/>
        </w:rPr>
        <w:t>单位 % RH）</w:t>
      </w:r>
    </w:p>
    <w:tbl>
      <w:tblPr>
        <w:tblStyle w:val="26"/>
        <w:tblW w:w="9036" w:type="dxa"/>
        <w:tblInd w:w="93" w:type="dxa"/>
        <w:tblLayout w:type="fixed"/>
        <w:tblCellMar>
          <w:top w:w="0" w:type="dxa"/>
          <w:left w:w="108" w:type="dxa"/>
          <w:bottom w:w="0" w:type="dxa"/>
          <w:right w:w="108" w:type="dxa"/>
        </w:tblCellMar>
      </w:tblPr>
      <w:tblGrid>
        <w:gridCol w:w="881"/>
        <w:gridCol w:w="1042"/>
        <w:gridCol w:w="1248"/>
        <w:gridCol w:w="1320"/>
        <w:gridCol w:w="1200"/>
        <w:gridCol w:w="1104"/>
        <w:gridCol w:w="1356"/>
        <w:gridCol w:w="885"/>
      </w:tblGrid>
      <w:tr>
        <w:tblPrEx>
          <w:tblCellMar>
            <w:top w:w="0" w:type="dxa"/>
            <w:left w:w="108" w:type="dxa"/>
            <w:bottom w:w="0" w:type="dxa"/>
            <w:right w:w="108" w:type="dxa"/>
          </w:tblCellMar>
        </w:tblPrEx>
        <w:trPr>
          <w:trHeight w:val="629" w:hRule="atLeast"/>
        </w:trPr>
        <w:tc>
          <w:tcPr>
            <w:tcW w:w="88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等线" w:hAnsi="等线" w:eastAsia="等线" w:cs="等线"/>
                <w:color w:val="000000"/>
                <w:kern w:val="0"/>
                <w:sz w:val="22"/>
                <w:szCs w:val="22"/>
                <w:lang w:bidi="ar"/>
              </w:rPr>
            </w:pPr>
            <w:r>
              <w:rPr>
                <w:rFonts w:hint="eastAsia" w:ascii="等线" w:hAnsi="等线" w:eastAsia="等线" w:cs="等线"/>
                <w:color w:val="000000"/>
                <w:kern w:val="0"/>
                <w:sz w:val="22"/>
                <w:szCs w:val="22"/>
                <w:lang w:bidi="ar"/>
              </w:rPr>
              <w:t>监督</w:t>
            </w:r>
          </w:p>
          <w:p>
            <w:pPr>
              <w:widowControl/>
              <w:jc w:val="center"/>
              <w:textAlignment w:val="center"/>
              <w:rPr>
                <w:rFonts w:ascii="等线" w:hAnsi="等线" w:eastAsia="等线" w:cs="等线"/>
                <w:color w:val="000000"/>
                <w:sz w:val="22"/>
                <w:szCs w:val="22"/>
              </w:rPr>
            </w:pPr>
            <w:r>
              <w:rPr>
                <w:rFonts w:hint="eastAsia" w:ascii="等线" w:hAnsi="等线" w:eastAsia="等线" w:cs="等线"/>
                <w:color w:val="000000"/>
                <w:kern w:val="0"/>
                <w:sz w:val="22"/>
                <w:szCs w:val="22"/>
                <w:lang w:bidi="ar"/>
              </w:rPr>
              <w:t>项目</w:t>
            </w:r>
          </w:p>
        </w:tc>
        <w:tc>
          <w:tcPr>
            <w:tcW w:w="104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等线" w:hAnsi="等线" w:eastAsia="等线" w:cs="等线"/>
                <w:color w:val="000000"/>
                <w:sz w:val="22"/>
                <w:szCs w:val="22"/>
                <w:lang w:val="en-US" w:eastAsia="zh-CN"/>
              </w:rPr>
            </w:pPr>
            <w:r>
              <w:rPr>
                <w:rFonts w:hint="eastAsia" w:ascii="等线" w:hAnsi="等线" w:eastAsia="等线" w:cs="等线"/>
                <w:color w:val="000000"/>
                <w:sz w:val="22"/>
                <w:szCs w:val="22"/>
                <w:lang w:val="en-US" w:eastAsia="zh-CN"/>
              </w:rPr>
              <w:t>湿度测量</w:t>
            </w:r>
          </w:p>
        </w:tc>
        <w:tc>
          <w:tcPr>
            <w:tcW w:w="3768"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等线" w:hAnsi="等线" w:eastAsia="等线" w:cs="等线"/>
                <w:color w:val="000000"/>
                <w:sz w:val="22"/>
                <w:szCs w:val="22"/>
                <w:lang w:val="en-US" w:eastAsia="zh-CN"/>
              </w:rPr>
            </w:pP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等线" w:hAnsi="等线" w:eastAsia="等线" w:cs="等线"/>
                <w:color w:val="000000"/>
                <w:sz w:val="22"/>
                <w:szCs w:val="22"/>
              </w:rPr>
            </w:pPr>
            <w:r>
              <w:rPr>
                <w:rFonts w:hint="eastAsia" w:ascii="等线" w:hAnsi="等线" w:eastAsia="等线" w:cs="等线"/>
                <w:color w:val="000000"/>
                <w:kern w:val="0"/>
                <w:sz w:val="22"/>
                <w:szCs w:val="22"/>
                <w:lang w:bidi="ar"/>
              </w:rPr>
              <w:t>监督要求</w:t>
            </w:r>
          </w:p>
        </w:tc>
        <w:tc>
          <w:tcPr>
            <w:tcW w:w="2241"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等线" w:hAnsi="等线" w:eastAsia="等线" w:cs="等线"/>
                <w:color w:val="000000"/>
                <w:sz w:val="22"/>
                <w:szCs w:val="22"/>
                <w:lang w:val="en-US" w:eastAsia="zh-CN"/>
              </w:rPr>
            </w:pPr>
          </w:p>
        </w:tc>
      </w:tr>
      <w:tr>
        <w:tblPrEx>
          <w:tblCellMar>
            <w:top w:w="0" w:type="dxa"/>
            <w:left w:w="108" w:type="dxa"/>
            <w:bottom w:w="0" w:type="dxa"/>
            <w:right w:w="108" w:type="dxa"/>
          </w:tblCellMar>
        </w:tblPrEx>
        <w:trPr>
          <w:trHeight w:val="320" w:hRule="atLeast"/>
        </w:trPr>
        <w:tc>
          <w:tcPr>
            <w:tcW w:w="1923"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等线" w:hAnsi="等线" w:eastAsia="等线" w:cs="等线"/>
                <w:color w:val="000000"/>
                <w:sz w:val="22"/>
                <w:szCs w:val="22"/>
              </w:rPr>
            </w:pPr>
            <w:r>
              <w:rPr>
                <w:rFonts w:hint="eastAsia" w:ascii="等线" w:hAnsi="等线" w:eastAsia="等线" w:cs="等线"/>
                <w:color w:val="000000"/>
                <w:kern w:val="0"/>
                <w:sz w:val="22"/>
                <w:szCs w:val="22"/>
                <w:lang w:bidi="ar"/>
              </w:rPr>
              <w:t>检</w:t>
            </w:r>
            <w:r>
              <w:rPr>
                <w:rFonts w:hint="eastAsia" w:ascii="等线" w:hAnsi="等线" w:eastAsia="等线" w:cs="等线"/>
                <w:color w:val="000000"/>
                <w:kern w:val="0"/>
                <w:sz w:val="22"/>
                <w:szCs w:val="22"/>
                <w:lang w:val="en-US" w:eastAsia="zh-CN" w:bidi="ar"/>
              </w:rPr>
              <w:t xml:space="preserve">  </w:t>
            </w:r>
            <w:r>
              <w:rPr>
                <w:rFonts w:hint="eastAsia" w:ascii="等线" w:hAnsi="等线" w:eastAsia="等线" w:cs="等线"/>
                <w:color w:val="000000"/>
                <w:kern w:val="0"/>
                <w:sz w:val="22"/>
                <w:szCs w:val="22"/>
                <w:lang w:bidi="ar"/>
              </w:rPr>
              <w:t>查</w:t>
            </w:r>
          </w:p>
        </w:tc>
        <w:tc>
          <w:tcPr>
            <w:tcW w:w="1248"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hint="default" w:ascii="等线" w:hAnsi="等线" w:eastAsia="等线" w:cs="等线"/>
                <w:color w:val="000000"/>
                <w:sz w:val="22"/>
                <w:szCs w:val="22"/>
                <w:lang w:val="en-US" w:eastAsia="zh-CN"/>
              </w:rPr>
            </w:pPr>
            <w:r>
              <w:rPr>
                <w:rFonts w:hint="eastAsia" w:ascii="等线" w:hAnsi="等线" w:eastAsia="等线" w:cs="等线"/>
                <w:color w:val="000000"/>
                <w:sz w:val="22"/>
                <w:szCs w:val="22"/>
                <w:lang w:val="en-US" w:eastAsia="zh-CN"/>
              </w:rPr>
              <w:t>缸  体</w:t>
            </w:r>
          </w:p>
        </w:tc>
        <w:tc>
          <w:tcPr>
            <w:tcW w:w="1320"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hint="default" w:ascii="等线" w:hAnsi="等线" w:eastAsia="等线" w:cs="等线"/>
                <w:color w:val="000000"/>
                <w:sz w:val="22"/>
                <w:szCs w:val="22"/>
                <w:lang w:val="en-US" w:eastAsia="zh-CN"/>
              </w:rPr>
            </w:pPr>
            <w:r>
              <w:rPr>
                <w:rFonts w:hint="eastAsia" w:ascii="等线" w:hAnsi="等线" w:eastAsia="等线" w:cs="等线"/>
                <w:color w:val="000000"/>
                <w:sz w:val="22"/>
                <w:szCs w:val="22"/>
                <w:lang w:val="en-US" w:eastAsia="zh-CN"/>
              </w:rPr>
              <w:t>缸内湿度</w:t>
            </w:r>
          </w:p>
        </w:tc>
        <w:tc>
          <w:tcPr>
            <w:tcW w:w="1200"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hint="default" w:ascii="等线" w:hAnsi="等线" w:eastAsia="等线" w:cs="等线"/>
                <w:color w:val="000000"/>
                <w:kern w:val="0"/>
                <w:sz w:val="22"/>
                <w:szCs w:val="22"/>
                <w:lang w:val="en-US" w:eastAsia="zh-CN" w:bidi="ar"/>
              </w:rPr>
            </w:pPr>
            <w:r>
              <w:rPr>
                <w:rFonts w:hint="eastAsia" w:ascii="等线" w:hAnsi="等线" w:eastAsia="等线" w:cs="等线"/>
                <w:color w:val="000000"/>
                <w:kern w:val="0"/>
                <w:sz w:val="22"/>
                <w:szCs w:val="22"/>
                <w:lang w:val="en-US" w:eastAsia="zh-CN" w:bidi="ar"/>
              </w:rPr>
              <w:t>环境湿度</w:t>
            </w:r>
          </w:p>
        </w:tc>
        <w:tc>
          <w:tcPr>
            <w:tcW w:w="246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等线" w:hAnsi="等线" w:eastAsia="等线" w:cs="等线"/>
                <w:color w:val="000000"/>
                <w:sz w:val="22"/>
                <w:szCs w:val="22"/>
                <w:lang w:val="en-US" w:eastAsia="zh-CN"/>
              </w:rPr>
            </w:pPr>
            <w:r>
              <w:rPr>
                <w:rFonts w:hint="eastAsia" w:ascii="等线" w:hAnsi="等线" w:eastAsia="等线" w:cs="等线"/>
                <w:color w:val="000000"/>
                <w:sz w:val="22"/>
                <w:szCs w:val="22"/>
                <w:lang w:val="en-US" w:eastAsia="zh-CN"/>
              </w:rPr>
              <w:t>标  准</w:t>
            </w:r>
          </w:p>
        </w:tc>
        <w:tc>
          <w:tcPr>
            <w:tcW w:w="88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等线" w:hAnsi="等线" w:eastAsia="等线" w:cs="等线"/>
                <w:color w:val="000000"/>
                <w:sz w:val="22"/>
                <w:szCs w:val="22"/>
              </w:rPr>
            </w:pPr>
            <w:r>
              <w:rPr>
                <w:rFonts w:hint="eastAsia" w:ascii="等线" w:hAnsi="等线" w:eastAsia="等线" w:cs="等线"/>
                <w:color w:val="000000"/>
                <w:kern w:val="0"/>
                <w:sz w:val="22"/>
                <w:szCs w:val="22"/>
                <w:lang w:bidi="ar"/>
              </w:rPr>
              <w:t>备注</w:t>
            </w:r>
          </w:p>
        </w:tc>
      </w:tr>
      <w:tr>
        <w:tblPrEx>
          <w:tblCellMar>
            <w:top w:w="0" w:type="dxa"/>
            <w:left w:w="108" w:type="dxa"/>
            <w:bottom w:w="0" w:type="dxa"/>
            <w:right w:w="108" w:type="dxa"/>
          </w:tblCellMar>
        </w:tblPrEx>
        <w:trPr>
          <w:trHeight w:val="320" w:hRule="atLeast"/>
        </w:trPr>
        <w:tc>
          <w:tcPr>
            <w:tcW w:w="88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等线" w:hAnsi="等线" w:eastAsia="等线" w:cs="等线"/>
                <w:color w:val="000000"/>
                <w:sz w:val="22"/>
                <w:szCs w:val="22"/>
              </w:rPr>
            </w:pPr>
            <w:r>
              <w:rPr>
                <w:rFonts w:hint="eastAsia" w:ascii="等线" w:hAnsi="等线" w:eastAsia="等线" w:cs="等线"/>
                <w:color w:val="000000"/>
                <w:kern w:val="0"/>
                <w:sz w:val="22"/>
                <w:szCs w:val="22"/>
                <w:lang w:bidi="ar"/>
              </w:rPr>
              <w:t>日期</w:t>
            </w:r>
          </w:p>
        </w:tc>
        <w:tc>
          <w:tcPr>
            <w:tcW w:w="104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等线" w:hAnsi="等线" w:eastAsia="等线" w:cs="等线"/>
                <w:color w:val="000000"/>
                <w:sz w:val="22"/>
                <w:szCs w:val="22"/>
                <w:lang w:val="en-US" w:eastAsia="zh-CN"/>
              </w:rPr>
            </w:pPr>
            <w:r>
              <w:rPr>
                <w:rFonts w:hint="eastAsia" w:ascii="等线" w:hAnsi="等线" w:eastAsia="等线" w:cs="等线"/>
                <w:color w:val="000000"/>
                <w:kern w:val="0"/>
                <w:sz w:val="22"/>
                <w:szCs w:val="22"/>
                <w:lang w:val="en-US" w:eastAsia="zh-CN" w:bidi="ar"/>
              </w:rPr>
              <w:t>检查人</w:t>
            </w:r>
          </w:p>
        </w:tc>
        <w:tc>
          <w:tcPr>
            <w:tcW w:w="1248" w:type="dxa"/>
            <w:vMerge w:val="continue"/>
            <w:tcBorders>
              <w:left w:val="single" w:color="000000" w:sz="4" w:space="0"/>
              <w:bottom w:val="single" w:color="000000" w:sz="4" w:space="0"/>
              <w:right w:val="single" w:color="000000" w:sz="4" w:space="0"/>
            </w:tcBorders>
            <w:vAlign w:val="center"/>
          </w:tcPr>
          <w:p>
            <w:pPr>
              <w:jc w:val="center"/>
              <w:rPr>
                <w:rFonts w:ascii="等线" w:hAnsi="等线" w:eastAsia="等线" w:cs="等线"/>
                <w:color w:val="000000"/>
                <w:sz w:val="22"/>
                <w:szCs w:val="22"/>
              </w:rPr>
            </w:pPr>
          </w:p>
        </w:tc>
        <w:tc>
          <w:tcPr>
            <w:tcW w:w="1320" w:type="dxa"/>
            <w:vMerge w:val="continue"/>
            <w:tcBorders>
              <w:left w:val="single" w:color="000000" w:sz="4" w:space="0"/>
              <w:bottom w:val="single" w:color="000000" w:sz="4" w:space="0"/>
              <w:right w:val="single" w:color="000000" w:sz="4" w:space="0"/>
            </w:tcBorders>
            <w:vAlign w:val="center"/>
          </w:tcPr>
          <w:p>
            <w:pPr>
              <w:jc w:val="center"/>
              <w:rPr>
                <w:rFonts w:ascii="等线" w:hAnsi="等线" w:eastAsia="等线" w:cs="等线"/>
                <w:color w:val="000000"/>
                <w:sz w:val="22"/>
                <w:szCs w:val="22"/>
              </w:rPr>
            </w:pPr>
          </w:p>
        </w:tc>
        <w:tc>
          <w:tcPr>
            <w:tcW w:w="1200" w:type="dxa"/>
            <w:vMerge w:val="continue"/>
            <w:tcBorders>
              <w:left w:val="single" w:color="000000" w:sz="4" w:space="0"/>
              <w:bottom w:val="single" w:color="000000" w:sz="4" w:space="0"/>
              <w:right w:val="single" w:color="000000" w:sz="4" w:space="0"/>
            </w:tcBorders>
            <w:vAlign w:val="center"/>
          </w:tcPr>
          <w:p>
            <w:pPr>
              <w:jc w:val="center"/>
              <w:rPr>
                <w:rFonts w:ascii="等线" w:hAnsi="等线" w:eastAsia="等线" w:cs="等线"/>
                <w:color w:val="000000"/>
                <w:sz w:val="22"/>
                <w:szCs w:val="22"/>
              </w:rPr>
            </w:pP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等线" w:hAnsi="等线" w:eastAsia="等线" w:cs="等线"/>
                <w:color w:val="000000"/>
                <w:sz w:val="22"/>
                <w:szCs w:val="22"/>
                <w:lang w:val="en-US" w:eastAsia="zh-CN"/>
              </w:rPr>
            </w:pPr>
            <w:r>
              <w:rPr>
                <w:rFonts w:hint="eastAsia" w:ascii="等线" w:hAnsi="等线" w:eastAsia="等线" w:cs="等线"/>
                <w:color w:val="000000"/>
                <w:sz w:val="22"/>
                <w:szCs w:val="22"/>
                <w:lang w:val="en-US" w:eastAsia="zh-CN"/>
              </w:rPr>
              <w:t>限值60%</w:t>
            </w:r>
          </w:p>
        </w:tc>
        <w:tc>
          <w:tcPr>
            <w:tcW w:w="13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等线" w:hAnsi="等线" w:eastAsia="等线" w:cs="等线"/>
                <w:color w:val="000000"/>
                <w:sz w:val="22"/>
                <w:szCs w:val="22"/>
                <w:lang w:val="en-US" w:eastAsia="zh-CN"/>
              </w:rPr>
            </w:pPr>
            <w:r>
              <w:rPr>
                <w:rFonts w:hint="eastAsia" w:ascii="等线" w:hAnsi="等线" w:eastAsia="等线" w:cs="等线"/>
                <w:color w:val="000000"/>
                <w:kern w:val="0"/>
                <w:sz w:val="22"/>
                <w:szCs w:val="22"/>
                <w:lang w:val="en-US" w:eastAsia="zh-CN" w:bidi="ar"/>
              </w:rPr>
              <w:t>期望值50%</w:t>
            </w:r>
          </w:p>
        </w:tc>
        <w:tc>
          <w:tcPr>
            <w:tcW w:w="88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等线" w:hAnsi="等线" w:eastAsia="等线" w:cs="等线"/>
                <w:color w:val="000000"/>
                <w:sz w:val="22"/>
                <w:szCs w:val="22"/>
              </w:rPr>
            </w:pPr>
          </w:p>
        </w:tc>
      </w:tr>
      <w:tr>
        <w:tblPrEx>
          <w:tblCellMar>
            <w:top w:w="0" w:type="dxa"/>
            <w:left w:w="108" w:type="dxa"/>
            <w:bottom w:w="0" w:type="dxa"/>
            <w:right w:w="108" w:type="dxa"/>
          </w:tblCellMar>
        </w:tblPrEx>
        <w:trPr>
          <w:trHeight w:val="320" w:hRule="atLeast"/>
        </w:trPr>
        <w:tc>
          <w:tcPr>
            <w:tcW w:w="881" w:type="dxa"/>
            <w:tcBorders>
              <w:top w:val="single" w:color="000000" w:sz="4" w:space="0"/>
              <w:left w:val="single" w:color="000000" w:sz="4" w:space="0"/>
              <w:bottom w:val="single" w:color="000000" w:sz="4" w:space="0"/>
              <w:right w:val="single" w:color="000000" w:sz="4" w:space="0"/>
            </w:tcBorders>
            <w:noWrap/>
            <w:vAlign w:val="bottom"/>
          </w:tcPr>
          <w:p>
            <w:pPr>
              <w:jc w:val="center"/>
              <w:rPr>
                <w:rFonts w:ascii="等线" w:hAnsi="等线" w:eastAsia="等线" w:cs="等线"/>
                <w:color w:val="000000"/>
                <w:sz w:val="22"/>
                <w:szCs w:val="22"/>
              </w:rPr>
            </w:pPr>
          </w:p>
        </w:tc>
        <w:tc>
          <w:tcPr>
            <w:tcW w:w="1042" w:type="dxa"/>
            <w:tcBorders>
              <w:top w:val="single" w:color="000000" w:sz="4" w:space="0"/>
              <w:left w:val="single" w:color="000000" w:sz="4" w:space="0"/>
              <w:bottom w:val="single" w:color="000000" w:sz="4" w:space="0"/>
              <w:right w:val="single" w:color="000000" w:sz="4" w:space="0"/>
            </w:tcBorders>
            <w:noWrap/>
            <w:vAlign w:val="bottom"/>
          </w:tcPr>
          <w:p>
            <w:pPr>
              <w:jc w:val="center"/>
              <w:rPr>
                <w:rFonts w:ascii="等线" w:hAnsi="等线" w:eastAsia="等线" w:cs="等线"/>
                <w:color w:val="000000"/>
                <w:sz w:val="22"/>
                <w:szCs w:val="22"/>
              </w:rPr>
            </w:pPr>
          </w:p>
        </w:tc>
        <w:tc>
          <w:tcPr>
            <w:tcW w:w="1248" w:type="dxa"/>
            <w:tcBorders>
              <w:top w:val="single" w:color="000000" w:sz="4" w:space="0"/>
              <w:left w:val="single" w:color="000000" w:sz="4" w:space="0"/>
              <w:bottom w:val="single" w:color="000000" w:sz="4" w:space="0"/>
              <w:right w:val="single" w:color="000000" w:sz="4" w:space="0"/>
            </w:tcBorders>
            <w:noWrap/>
            <w:vAlign w:val="bottom"/>
          </w:tcPr>
          <w:p>
            <w:pPr>
              <w:jc w:val="center"/>
              <w:rPr>
                <w:rFonts w:ascii="等线" w:hAnsi="等线" w:eastAsia="等线" w:cs="等线"/>
                <w:color w:val="000000"/>
                <w:sz w:val="22"/>
                <w:szCs w:val="22"/>
              </w:rPr>
            </w:pPr>
          </w:p>
        </w:tc>
        <w:tc>
          <w:tcPr>
            <w:tcW w:w="1320" w:type="dxa"/>
            <w:tcBorders>
              <w:top w:val="single" w:color="000000" w:sz="4" w:space="0"/>
              <w:left w:val="single" w:color="000000" w:sz="4" w:space="0"/>
              <w:bottom w:val="single" w:color="000000" w:sz="4" w:space="0"/>
              <w:right w:val="single" w:color="000000" w:sz="4" w:space="0"/>
            </w:tcBorders>
            <w:noWrap/>
            <w:vAlign w:val="bottom"/>
          </w:tcPr>
          <w:p>
            <w:pPr>
              <w:jc w:val="center"/>
              <w:rPr>
                <w:rFonts w:ascii="等线" w:hAnsi="等线" w:eastAsia="等线" w:cs="等线"/>
                <w:color w:val="000000"/>
                <w:sz w:val="22"/>
                <w:szCs w:val="22"/>
              </w:rPr>
            </w:pPr>
          </w:p>
        </w:tc>
        <w:tc>
          <w:tcPr>
            <w:tcW w:w="1200" w:type="dxa"/>
            <w:tcBorders>
              <w:top w:val="single" w:color="000000" w:sz="4" w:space="0"/>
              <w:left w:val="single" w:color="000000" w:sz="4" w:space="0"/>
              <w:bottom w:val="single" w:color="000000" w:sz="4" w:space="0"/>
              <w:right w:val="single" w:color="000000" w:sz="4" w:space="0"/>
            </w:tcBorders>
            <w:noWrap/>
            <w:vAlign w:val="bottom"/>
          </w:tcPr>
          <w:p>
            <w:pPr>
              <w:jc w:val="center"/>
              <w:rPr>
                <w:rFonts w:ascii="等线" w:hAnsi="等线" w:eastAsia="等线" w:cs="等线"/>
                <w:color w:val="000000"/>
                <w:sz w:val="22"/>
                <w:szCs w:val="22"/>
              </w:rPr>
            </w:pPr>
          </w:p>
        </w:tc>
        <w:tc>
          <w:tcPr>
            <w:tcW w:w="1104" w:type="dxa"/>
            <w:tcBorders>
              <w:top w:val="single" w:color="000000" w:sz="4" w:space="0"/>
              <w:left w:val="single" w:color="000000" w:sz="4" w:space="0"/>
              <w:bottom w:val="single" w:color="000000" w:sz="4" w:space="0"/>
              <w:right w:val="single" w:color="000000" w:sz="4" w:space="0"/>
            </w:tcBorders>
            <w:noWrap/>
            <w:vAlign w:val="bottom"/>
          </w:tcPr>
          <w:p>
            <w:pPr>
              <w:jc w:val="center"/>
              <w:rPr>
                <w:rFonts w:ascii="等线" w:hAnsi="等线" w:eastAsia="等线" w:cs="等线"/>
                <w:color w:val="000000"/>
                <w:sz w:val="22"/>
                <w:szCs w:val="22"/>
              </w:rPr>
            </w:pPr>
          </w:p>
        </w:tc>
        <w:tc>
          <w:tcPr>
            <w:tcW w:w="1356" w:type="dxa"/>
            <w:tcBorders>
              <w:top w:val="single" w:color="000000" w:sz="4" w:space="0"/>
              <w:left w:val="single" w:color="000000" w:sz="4" w:space="0"/>
              <w:bottom w:val="single" w:color="000000" w:sz="4" w:space="0"/>
              <w:right w:val="single" w:color="000000" w:sz="4" w:space="0"/>
            </w:tcBorders>
            <w:noWrap/>
            <w:vAlign w:val="bottom"/>
          </w:tcPr>
          <w:p>
            <w:pPr>
              <w:jc w:val="center"/>
              <w:rPr>
                <w:rFonts w:ascii="等线" w:hAnsi="等线" w:eastAsia="等线" w:cs="等线"/>
                <w:color w:val="000000"/>
                <w:sz w:val="22"/>
                <w:szCs w:val="22"/>
              </w:rPr>
            </w:pPr>
          </w:p>
        </w:tc>
        <w:tc>
          <w:tcPr>
            <w:tcW w:w="885" w:type="dxa"/>
            <w:tcBorders>
              <w:top w:val="single" w:color="000000" w:sz="4" w:space="0"/>
              <w:left w:val="single" w:color="000000" w:sz="4" w:space="0"/>
              <w:bottom w:val="single" w:color="000000" w:sz="4" w:space="0"/>
              <w:right w:val="single" w:color="000000" w:sz="4" w:space="0"/>
            </w:tcBorders>
            <w:noWrap/>
            <w:vAlign w:val="bottom"/>
          </w:tcPr>
          <w:p>
            <w:pPr>
              <w:jc w:val="center"/>
              <w:rPr>
                <w:rFonts w:ascii="等线" w:hAnsi="等线" w:eastAsia="等线" w:cs="等线"/>
                <w:color w:val="000000"/>
                <w:sz w:val="22"/>
                <w:szCs w:val="22"/>
              </w:rPr>
            </w:pPr>
          </w:p>
        </w:tc>
      </w:tr>
      <w:tr>
        <w:tblPrEx>
          <w:tblCellMar>
            <w:top w:w="0" w:type="dxa"/>
            <w:left w:w="108" w:type="dxa"/>
            <w:bottom w:w="0" w:type="dxa"/>
            <w:right w:w="108" w:type="dxa"/>
          </w:tblCellMar>
        </w:tblPrEx>
        <w:trPr>
          <w:trHeight w:val="320" w:hRule="atLeast"/>
        </w:trPr>
        <w:tc>
          <w:tcPr>
            <w:tcW w:w="881" w:type="dxa"/>
            <w:tcBorders>
              <w:top w:val="single" w:color="000000" w:sz="4" w:space="0"/>
              <w:left w:val="single" w:color="000000" w:sz="4" w:space="0"/>
              <w:bottom w:val="single" w:color="000000" w:sz="4" w:space="0"/>
              <w:right w:val="single" w:color="000000" w:sz="4" w:space="0"/>
            </w:tcBorders>
            <w:noWrap/>
            <w:vAlign w:val="bottom"/>
          </w:tcPr>
          <w:p>
            <w:pPr>
              <w:jc w:val="center"/>
              <w:rPr>
                <w:rFonts w:ascii="等线" w:hAnsi="等线" w:eastAsia="等线" w:cs="等线"/>
                <w:color w:val="000000"/>
                <w:sz w:val="22"/>
                <w:szCs w:val="22"/>
              </w:rPr>
            </w:pPr>
          </w:p>
        </w:tc>
        <w:tc>
          <w:tcPr>
            <w:tcW w:w="1042" w:type="dxa"/>
            <w:tcBorders>
              <w:top w:val="single" w:color="000000" w:sz="4" w:space="0"/>
              <w:left w:val="single" w:color="000000" w:sz="4" w:space="0"/>
              <w:bottom w:val="single" w:color="000000" w:sz="4" w:space="0"/>
              <w:right w:val="single" w:color="000000" w:sz="4" w:space="0"/>
            </w:tcBorders>
            <w:noWrap/>
            <w:vAlign w:val="bottom"/>
          </w:tcPr>
          <w:p>
            <w:pPr>
              <w:jc w:val="center"/>
              <w:rPr>
                <w:rFonts w:ascii="等线" w:hAnsi="等线" w:eastAsia="等线" w:cs="等线"/>
                <w:color w:val="000000"/>
                <w:sz w:val="22"/>
                <w:szCs w:val="22"/>
              </w:rPr>
            </w:pPr>
          </w:p>
        </w:tc>
        <w:tc>
          <w:tcPr>
            <w:tcW w:w="1248" w:type="dxa"/>
            <w:tcBorders>
              <w:top w:val="single" w:color="000000" w:sz="4" w:space="0"/>
              <w:left w:val="single" w:color="000000" w:sz="4" w:space="0"/>
              <w:bottom w:val="single" w:color="000000" w:sz="4" w:space="0"/>
              <w:right w:val="single" w:color="000000" w:sz="4" w:space="0"/>
            </w:tcBorders>
            <w:noWrap/>
            <w:vAlign w:val="bottom"/>
          </w:tcPr>
          <w:p>
            <w:pPr>
              <w:jc w:val="center"/>
              <w:rPr>
                <w:rFonts w:ascii="等线" w:hAnsi="等线" w:eastAsia="等线" w:cs="等线"/>
                <w:color w:val="000000"/>
                <w:sz w:val="22"/>
                <w:szCs w:val="22"/>
              </w:rPr>
            </w:pPr>
          </w:p>
        </w:tc>
        <w:tc>
          <w:tcPr>
            <w:tcW w:w="1320" w:type="dxa"/>
            <w:tcBorders>
              <w:top w:val="single" w:color="000000" w:sz="4" w:space="0"/>
              <w:left w:val="single" w:color="000000" w:sz="4" w:space="0"/>
              <w:bottom w:val="single" w:color="000000" w:sz="4" w:space="0"/>
              <w:right w:val="single" w:color="000000" w:sz="4" w:space="0"/>
            </w:tcBorders>
            <w:noWrap/>
            <w:vAlign w:val="bottom"/>
          </w:tcPr>
          <w:p>
            <w:pPr>
              <w:jc w:val="center"/>
              <w:rPr>
                <w:rFonts w:ascii="等线" w:hAnsi="等线" w:eastAsia="等线" w:cs="等线"/>
                <w:color w:val="000000"/>
                <w:sz w:val="22"/>
                <w:szCs w:val="22"/>
              </w:rPr>
            </w:pPr>
          </w:p>
        </w:tc>
        <w:tc>
          <w:tcPr>
            <w:tcW w:w="1200" w:type="dxa"/>
            <w:tcBorders>
              <w:top w:val="single" w:color="000000" w:sz="4" w:space="0"/>
              <w:left w:val="single" w:color="000000" w:sz="4" w:space="0"/>
              <w:bottom w:val="single" w:color="000000" w:sz="4" w:space="0"/>
              <w:right w:val="single" w:color="000000" w:sz="4" w:space="0"/>
            </w:tcBorders>
            <w:noWrap/>
            <w:vAlign w:val="bottom"/>
          </w:tcPr>
          <w:p>
            <w:pPr>
              <w:jc w:val="center"/>
              <w:rPr>
                <w:rFonts w:ascii="等线" w:hAnsi="等线" w:eastAsia="等线" w:cs="等线"/>
                <w:color w:val="000000"/>
                <w:sz w:val="22"/>
                <w:szCs w:val="22"/>
              </w:rPr>
            </w:pPr>
          </w:p>
        </w:tc>
        <w:tc>
          <w:tcPr>
            <w:tcW w:w="1104" w:type="dxa"/>
            <w:tcBorders>
              <w:top w:val="single" w:color="000000" w:sz="4" w:space="0"/>
              <w:left w:val="single" w:color="000000" w:sz="4" w:space="0"/>
              <w:bottom w:val="single" w:color="000000" w:sz="4" w:space="0"/>
              <w:right w:val="single" w:color="000000" w:sz="4" w:space="0"/>
            </w:tcBorders>
            <w:noWrap/>
            <w:vAlign w:val="bottom"/>
          </w:tcPr>
          <w:p>
            <w:pPr>
              <w:jc w:val="center"/>
              <w:rPr>
                <w:rFonts w:ascii="等线" w:hAnsi="等线" w:eastAsia="等线" w:cs="等线"/>
                <w:color w:val="000000"/>
                <w:sz w:val="22"/>
                <w:szCs w:val="22"/>
              </w:rPr>
            </w:pPr>
          </w:p>
        </w:tc>
        <w:tc>
          <w:tcPr>
            <w:tcW w:w="1356" w:type="dxa"/>
            <w:tcBorders>
              <w:top w:val="single" w:color="000000" w:sz="4" w:space="0"/>
              <w:left w:val="single" w:color="000000" w:sz="4" w:space="0"/>
              <w:bottom w:val="single" w:color="000000" w:sz="4" w:space="0"/>
              <w:right w:val="single" w:color="000000" w:sz="4" w:space="0"/>
            </w:tcBorders>
            <w:noWrap/>
            <w:vAlign w:val="bottom"/>
          </w:tcPr>
          <w:p>
            <w:pPr>
              <w:jc w:val="center"/>
              <w:rPr>
                <w:rFonts w:ascii="等线" w:hAnsi="等线" w:eastAsia="等线" w:cs="等线"/>
                <w:color w:val="000000"/>
                <w:sz w:val="22"/>
                <w:szCs w:val="22"/>
              </w:rPr>
            </w:pPr>
          </w:p>
        </w:tc>
        <w:tc>
          <w:tcPr>
            <w:tcW w:w="885" w:type="dxa"/>
            <w:tcBorders>
              <w:top w:val="single" w:color="000000" w:sz="4" w:space="0"/>
              <w:left w:val="single" w:color="000000" w:sz="4" w:space="0"/>
              <w:bottom w:val="single" w:color="000000" w:sz="4" w:space="0"/>
              <w:right w:val="single" w:color="000000" w:sz="4" w:space="0"/>
            </w:tcBorders>
            <w:noWrap/>
            <w:vAlign w:val="bottom"/>
          </w:tcPr>
          <w:p>
            <w:pPr>
              <w:jc w:val="center"/>
              <w:rPr>
                <w:rFonts w:ascii="等线" w:hAnsi="等线" w:eastAsia="等线" w:cs="等线"/>
                <w:color w:val="000000"/>
                <w:sz w:val="22"/>
                <w:szCs w:val="22"/>
              </w:rPr>
            </w:pPr>
          </w:p>
        </w:tc>
      </w:tr>
      <w:tr>
        <w:tblPrEx>
          <w:tblCellMar>
            <w:top w:w="0" w:type="dxa"/>
            <w:left w:w="108" w:type="dxa"/>
            <w:bottom w:w="0" w:type="dxa"/>
            <w:right w:w="108" w:type="dxa"/>
          </w:tblCellMar>
        </w:tblPrEx>
        <w:trPr>
          <w:trHeight w:val="320" w:hRule="atLeast"/>
        </w:trPr>
        <w:tc>
          <w:tcPr>
            <w:tcW w:w="881" w:type="dxa"/>
            <w:tcBorders>
              <w:top w:val="single" w:color="000000" w:sz="4" w:space="0"/>
              <w:left w:val="single" w:color="000000" w:sz="4" w:space="0"/>
              <w:bottom w:val="single" w:color="000000" w:sz="4" w:space="0"/>
              <w:right w:val="single" w:color="000000" w:sz="4" w:space="0"/>
            </w:tcBorders>
            <w:noWrap/>
            <w:vAlign w:val="bottom"/>
          </w:tcPr>
          <w:p>
            <w:pPr>
              <w:jc w:val="center"/>
              <w:rPr>
                <w:rFonts w:ascii="等线" w:hAnsi="等线" w:eastAsia="等线" w:cs="等线"/>
                <w:color w:val="000000"/>
                <w:sz w:val="22"/>
                <w:szCs w:val="22"/>
              </w:rPr>
            </w:pPr>
          </w:p>
        </w:tc>
        <w:tc>
          <w:tcPr>
            <w:tcW w:w="1042" w:type="dxa"/>
            <w:tcBorders>
              <w:top w:val="single" w:color="000000" w:sz="4" w:space="0"/>
              <w:left w:val="single" w:color="000000" w:sz="4" w:space="0"/>
              <w:bottom w:val="single" w:color="000000" w:sz="4" w:space="0"/>
              <w:right w:val="single" w:color="000000" w:sz="4" w:space="0"/>
            </w:tcBorders>
            <w:noWrap/>
            <w:vAlign w:val="bottom"/>
          </w:tcPr>
          <w:p>
            <w:pPr>
              <w:jc w:val="center"/>
              <w:rPr>
                <w:rFonts w:ascii="等线" w:hAnsi="等线" w:eastAsia="等线" w:cs="等线"/>
                <w:color w:val="000000"/>
                <w:sz w:val="22"/>
                <w:szCs w:val="22"/>
              </w:rPr>
            </w:pPr>
          </w:p>
        </w:tc>
        <w:tc>
          <w:tcPr>
            <w:tcW w:w="1248" w:type="dxa"/>
            <w:tcBorders>
              <w:top w:val="single" w:color="000000" w:sz="4" w:space="0"/>
              <w:left w:val="single" w:color="000000" w:sz="4" w:space="0"/>
              <w:bottom w:val="single" w:color="000000" w:sz="4" w:space="0"/>
              <w:right w:val="single" w:color="000000" w:sz="4" w:space="0"/>
            </w:tcBorders>
            <w:noWrap/>
            <w:vAlign w:val="bottom"/>
          </w:tcPr>
          <w:p>
            <w:pPr>
              <w:jc w:val="center"/>
              <w:rPr>
                <w:rFonts w:ascii="等线" w:hAnsi="等线" w:eastAsia="等线" w:cs="等线"/>
                <w:color w:val="000000"/>
                <w:sz w:val="22"/>
                <w:szCs w:val="22"/>
              </w:rPr>
            </w:pPr>
          </w:p>
        </w:tc>
        <w:tc>
          <w:tcPr>
            <w:tcW w:w="1320" w:type="dxa"/>
            <w:tcBorders>
              <w:top w:val="single" w:color="000000" w:sz="4" w:space="0"/>
              <w:left w:val="single" w:color="000000" w:sz="4" w:space="0"/>
              <w:bottom w:val="single" w:color="000000" w:sz="4" w:space="0"/>
              <w:right w:val="single" w:color="000000" w:sz="4" w:space="0"/>
            </w:tcBorders>
            <w:noWrap/>
            <w:vAlign w:val="bottom"/>
          </w:tcPr>
          <w:p>
            <w:pPr>
              <w:jc w:val="center"/>
              <w:rPr>
                <w:rFonts w:ascii="等线" w:hAnsi="等线" w:eastAsia="等线" w:cs="等线"/>
                <w:color w:val="000000"/>
                <w:sz w:val="22"/>
                <w:szCs w:val="22"/>
              </w:rPr>
            </w:pPr>
          </w:p>
        </w:tc>
        <w:tc>
          <w:tcPr>
            <w:tcW w:w="1200" w:type="dxa"/>
            <w:tcBorders>
              <w:top w:val="single" w:color="000000" w:sz="4" w:space="0"/>
              <w:left w:val="single" w:color="000000" w:sz="4" w:space="0"/>
              <w:bottom w:val="single" w:color="000000" w:sz="4" w:space="0"/>
              <w:right w:val="single" w:color="000000" w:sz="4" w:space="0"/>
            </w:tcBorders>
            <w:noWrap/>
            <w:vAlign w:val="bottom"/>
          </w:tcPr>
          <w:p>
            <w:pPr>
              <w:jc w:val="center"/>
              <w:rPr>
                <w:rFonts w:ascii="等线" w:hAnsi="等线" w:eastAsia="等线" w:cs="等线"/>
                <w:color w:val="000000"/>
                <w:sz w:val="22"/>
                <w:szCs w:val="22"/>
              </w:rPr>
            </w:pPr>
          </w:p>
        </w:tc>
        <w:tc>
          <w:tcPr>
            <w:tcW w:w="1104" w:type="dxa"/>
            <w:tcBorders>
              <w:top w:val="single" w:color="000000" w:sz="4" w:space="0"/>
              <w:left w:val="single" w:color="000000" w:sz="4" w:space="0"/>
              <w:bottom w:val="single" w:color="000000" w:sz="4" w:space="0"/>
              <w:right w:val="single" w:color="000000" w:sz="4" w:space="0"/>
            </w:tcBorders>
            <w:noWrap/>
            <w:vAlign w:val="bottom"/>
          </w:tcPr>
          <w:p>
            <w:pPr>
              <w:jc w:val="center"/>
              <w:rPr>
                <w:rFonts w:ascii="等线" w:hAnsi="等线" w:eastAsia="等线" w:cs="等线"/>
                <w:color w:val="000000"/>
                <w:sz w:val="22"/>
                <w:szCs w:val="22"/>
              </w:rPr>
            </w:pPr>
          </w:p>
        </w:tc>
        <w:tc>
          <w:tcPr>
            <w:tcW w:w="1356" w:type="dxa"/>
            <w:tcBorders>
              <w:top w:val="single" w:color="000000" w:sz="4" w:space="0"/>
              <w:left w:val="single" w:color="000000" w:sz="4" w:space="0"/>
              <w:bottom w:val="single" w:color="000000" w:sz="4" w:space="0"/>
              <w:right w:val="single" w:color="000000" w:sz="4" w:space="0"/>
            </w:tcBorders>
            <w:noWrap/>
            <w:vAlign w:val="bottom"/>
          </w:tcPr>
          <w:p>
            <w:pPr>
              <w:jc w:val="center"/>
              <w:rPr>
                <w:rFonts w:ascii="等线" w:hAnsi="等线" w:eastAsia="等线" w:cs="等线"/>
                <w:color w:val="000000"/>
                <w:sz w:val="22"/>
                <w:szCs w:val="22"/>
              </w:rPr>
            </w:pPr>
          </w:p>
        </w:tc>
        <w:tc>
          <w:tcPr>
            <w:tcW w:w="885" w:type="dxa"/>
            <w:tcBorders>
              <w:top w:val="single" w:color="000000" w:sz="4" w:space="0"/>
              <w:left w:val="single" w:color="000000" w:sz="4" w:space="0"/>
              <w:bottom w:val="single" w:color="000000" w:sz="4" w:space="0"/>
              <w:right w:val="single" w:color="000000" w:sz="4" w:space="0"/>
            </w:tcBorders>
            <w:noWrap/>
            <w:vAlign w:val="bottom"/>
          </w:tcPr>
          <w:p>
            <w:pPr>
              <w:jc w:val="center"/>
              <w:rPr>
                <w:rFonts w:ascii="等线" w:hAnsi="等线" w:eastAsia="等线" w:cs="等线"/>
                <w:color w:val="000000"/>
                <w:sz w:val="22"/>
                <w:szCs w:val="22"/>
              </w:rPr>
            </w:pPr>
          </w:p>
        </w:tc>
      </w:tr>
      <w:tr>
        <w:tblPrEx>
          <w:tblCellMar>
            <w:top w:w="0" w:type="dxa"/>
            <w:left w:w="108" w:type="dxa"/>
            <w:bottom w:w="0" w:type="dxa"/>
            <w:right w:w="108" w:type="dxa"/>
          </w:tblCellMar>
        </w:tblPrEx>
        <w:trPr>
          <w:trHeight w:val="336" w:hRule="atLeast"/>
        </w:trPr>
        <w:tc>
          <w:tcPr>
            <w:tcW w:w="881" w:type="dxa"/>
            <w:tcBorders>
              <w:top w:val="single" w:color="000000" w:sz="4" w:space="0"/>
              <w:left w:val="single" w:color="000000" w:sz="4" w:space="0"/>
              <w:bottom w:val="single" w:color="000000" w:sz="4" w:space="0"/>
              <w:right w:val="single" w:color="000000" w:sz="4" w:space="0"/>
            </w:tcBorders>
            <w:noWrap/>
            <w:vAlign w:val="bottom"/>
          </w:tcPr>
          <w:p>
            <w:pPr>
              <w:jc w:val="center"/>
              <w:rPr>
                <w:rFonts w:ascii="等线" w:hAnsi="等线" w:eastAsia="等线" w:cs="等线"/>
                <w:color w:val="000000"/>
                <w:sz w:val="22"/>
                <w:szCs w:val="22"/>
              </w:rPr>
            </w:pPr>
          </w:p>
        </w:tc>
        <w:tc>
          <w:tcPr>
            <w:tcW w:w="1042" w:type="dxa"/>
            <w:tcBorders>
              <w:top w:val="single" w:color="000000" w:sz="4" w:space="0"/>
              <w:left w:val="single" w:color="000000" w:sz="4" w:space="0"/>
              <w:bottom w:val="single" w:color="000000" w:sz="4" w:space="0"/>
              <w:right w:val="single" w:color="000000" w:sz="4" w:space="0"/>
            </w:tcBorders>
            <w:noWrap/>
            <w:vAlign w:val="bottom"/>
          </w:tcPr>
          <w:p>
            <w:pPr>
              <w:jc w:val="center"/>
              <w:rPr>
                <w:rFonts w:ascii="等线" w:hAnsi="等线" w:eastAsia="等线" w:cs="等线"/>
                <w:color w:val="000000"/>
                <w:sz w:val="22"/>
                <w:szCs w:val="22"/>
              </w:rPr>
            </w:pPr>
          </w:p>
        </w:tc>
        <w:tc>
          <w:tcPr>
            <w:tcW w:w="1248" w:type="dxa"/>
            <w:tcBorders>
              <w:top w:val="single" w:color="000000" w:sz="4" w:space="0"/>
              <w:left w:val="single" w:color="000000" w:sz="4" w:space="0"/>
              <w:bottom w:val="single" w:color="000000" w:sz="4" w:space="0"/>
              <w:right w:val="single" w:color="000000" w:sz="4" w:space="0"/>
            </w:tcBorders>
            <w:noWrap/>
            <w:vAlign w:val="bottom"/>
          </w:tcPr>
          <w:p>
            <w:pPr>
              <w:jc w:val="center"/>
              <w:rPr>
                <w:rFonts w:ascii="等线" w:hAnsi="等线" w:eastAsia="等线" w:cs="等线"/>
                <w:color w:val="000000"/>
                <w:sz w:val="22"/>
                <w:szCs w:val="22"/>
              </w:rPr>
            </w:pPr>
          </w:p>
        </w:tc>
        <w:tc>
          <w:tcPr>
            <w:tcW w:w="1320" w:type="dxa"/>
            <w:tcBorders>
              <w:top w:val="single" w:color="000000" w:sz="4" w:space="0"/>
              <w:left w:val="single" w:color="000000" w:sz="4" w:space="0"/>
              <w:bottom w:val="single" w:color="000000" w:sz="4" w:space="0"/>
              <w:right w:val="single" w:color="000000" w:sz="4" w:space="0"/>
            </w:tcBorders>
            <w:noWrap/>
            <w:vAlign w:val="bottom"/>
          </w:tcPr>
          <w:p>
            <w:pPr>
              <w:jc w:val="center"/>
              <w:rPr>
                <w:rFonts w:ascii="等线" w:hAnsi="等线" w:eastAsia="等线" w:cs="等线"/>
                <w:color w:val="000000"/>
                <w:sz w:val="22"/>
                <w:szCs w:val="22"/>
              </w:rPr>
            </w:pPr>
          </w:p>
        </w:tc>
        <w:tc>
          <w:tcPr>
            <w:tcW w:w="1200" w:type="dxa"/>
            <w:tcBorders>
              <w:top w:val="single" w:color="000000" w:sz="4" w:space="0"/>
              <w:left w:val="single" w:color="000000" w:sz="4" w:space="0"/>
              <w:bottom w:val="single" w:color="000000" w:sz="4" w:space="0"/>
              <w:right w:val="single" w:color="000000" w:sz="4" w:space="0"/>
            </w:tcBorders>
            <w:noWrap/>
            <w:vAlign w:val="bottom"/>
          </w:tcPr>
          <w:p>
            <w:pPr>
              <w:jc w:val="center"/>
              <w:rPr>
                <w:rFonts w:ascii="等线" w:hAnsi="等线" w:eastAsia="等线" w:cs="等线"/>
                <w:color w:val="000000"/>
                <w:sz w:val="22"/>
                <w:szCs w:val="22"/>
              </w:rPr>
            </w:pPr>
          </w:p>
        </w:tc>
        <w:tc>
          <w:tcPr>
            <w:tcW w:w="1104" w:type="dxa"/>
            <w:tcBorders>
              <w:top w:val="single" w:color="000000" w:sz="4" w:space="0"/>
              <w:left w:val="single" w:color="000000" w:sz="4" w:space="0"/>
              <w:bottom w:val="single" w:color="000000" w:sz="4" w:space="0"/>
              <w:right w:val="single" w:color="000000" w:sz="4" w:space="0"/>
            </w:tcBorders>
            <w:noWrap/>
            <w:vAlign w:val="bottom"/>
          </w:tcPr>
          <w:p>
            <w:pPr>
              <w:jc w:val="center"/>
              <w:rPr>
                <w:rFonts w:ascii="等线" w:hAnsi="等线" w:eastAsia="等线" w:cs="等线"/>
                <w:color w:val="000000"/>
                <w:sz w:val="22"/>
                <w:szCs w:val="22"/>
              </w:rPr>
            </w:pPr>
          </w:p>
        </w:tc>
        <w:tc>
          <w:tcPr>
            <w:tcW w:w="1356" w:type="dxa"/>
            <w:tcBorders>
              <w:top w:val="single" w:color="000000" w:sz="4" w:space="0"/>
              <w:left w:val="single" w:color="000000" w:sz="4" w:space="0"/>
              <w:bottom w:val="single" w:color="000000" w:sz="4" w:space="0"/>
              <w:right w:val="single" w:color="000000" w:sz="4" w:space="0"/>
            </w:tcBorders>
            <w:noWrap/>
            <w:vAlign w:val="bottom"/>
          </w:tcPr>
          <w:p>
            <w:pPr>
              <w:jc w:val="center"/>
              <w:rPr>
                <w:rFonts w:ascii="等线" w:hAnsi="等线" w:eastAsia="等线" w:cs="等线"/>
                <w:color w:val="000000"/>
                <w:sz w:val="22"/>
                <w:szCs w:val="22"/>
              </w:rPr>
            </w:pPr>
          </w:p>
        </w:tc>
        <w:tc>
          <w:tcPr>
            <w:tcW w:w="885" w:type="dxa"/>
            <w:tcBorders>
              <w:top w:val="single" w:color="000000" w:sz="4" w:space="0"/>
              <w:left w:val="single" w:color="000000" w:sz="4" w:space="0"/>
              <w:bottom w:val="single" w:color="000000" w:sz="4" w:space="0"/>
              <w:right w:val="single" w:color="000000" w:sz="4" w:space="0"/>
            </w:tcBorders>
            <w:noWrap/>
            <w:vAlign w:val="bottom"/>
          </w:tcPr>
          <w:p>
            <w:pPr>
              <w:jc w:val="center"/>
              <w:rPr>
                <w:rFonts w:ascii="等线" w:hAnsi="等线" w:eastAsia="等线" w:cs="等线"/>
                <w:color w:val="000000"/>
                <w:sz w:val="22"/>
                <w:szCs w:val="22"/>
              </w:rPr>
            </w:pPr>
          </w:p>
        </w:tc>
      </w:tr>
    </w:tbl>
    <w:p>
      <w:pPr>
        <w:pStyle w:val="19"/>
      </w:pPr>
    </w:p>
    <w:p>
      <w:pPr>
        <w:pStyle w:val="91"/>
      </w:pPr>
      <w:bookmarkStart w:id="31" w:name="_Toc201584730"/>
      <w:bookmarkEnd w:id="31"/>
    </w:p>
    <w:p>
      <w:pPr>
        <w:pStyle w:val="79"/>
      </w:pPr>
      <w:bookmarkStart w:id="32" w:name="_Toc201584731"/>
      <w:bookmarkEnd w:id="32"/>
    </w:p>
    <w:p>
      <w:pPr>
        <w:pStyle w:val="77"/>
      </w:pPr>
      <w:r>
        <w:br w:type="textWrapping"/>
      </w:r>
      <w:bookmarkStart w:id="33" w:name="_Toc201584732"/>
      <w:r>
        <w:rPr>
          <w:rFonts w:hint="eastAsia"/>
        </w:rPr>
        <w:t>（资料性附录）</w:t>
      </w:r>
      <w:r>
        <w:br w:type="textWrapping"/>
      </w:r>
      <w:r>
        <w:rPr>
          <w:rFonts w:hint="eastAsia"/>
        </w:rPr>
        <w:t>检 查 记 录 表</w:t>
      </w:r>
      <w:bookmarkEnd w:id="33"/>
    </w:p>
    <w:p>
      <w:pPr>
        <w:pStyle w:val="19"/>
      </w:pPr>
      <w:r>
        <w:rPr>
          <w:rFonts w:hint="eastAsia"/>
          <w:lang w:val="en-US" w:eastAsia="zh-CN"/>
        </w:rPr>
        <w:t>B.1  汽轮机</w:t>
      </w:r>
      <w:r>
        <w:rPr>
          <w:rFonts w:hint="eastAsia"/>
        </w:rPr>
        <w:t>保养逻辑框图见图</w:t>
      </w:r>
      <w:r>
        <w:rPr>
          <w:rFonts w:hint="eastAsia"/>
          <w:lang w:val="en-US" w:eastAsia="zh-CN"/>
        </w:rPr>
        <w:t>B</w:t>
      </w:r>
      <w:r>
        <w:rPr>
          <w:rFonts w:hint="eastAsia"/>
        </w:rPr>
        <w:t>.1</w:t>
      </w:r>
    </w:p>
    <w:p>
      <w:pPr>
        <w:pStyle w:val="19"/>
      </w:pPr>
      <w:r>
        <w:object>
          <v:shape id="_x0000_i1029" o:spt="75" type="#_x0000_t75" style="height:216.75pt;width:418.5pt;" o:ole="t" filled="f" o:preferrelative="t" stroked="f" coordsize="21600,21600">
            <v:path/>
            <v:fill on="f" focussize="0,0"/>
            <v:stroke on="f" joinstyle="miter"/>
            <v:imagedata r:id="rId21" o:title=""/>
            <o:lock v:ext="edit" aspectratio="t"/>
            <w10:wrap type="none"/>
            <w10:anchorlock/>
          </v:shape>
          <o:OLEObject Type="Embed" ProgID="Visio.Drawing.15" ShapeID="_x0000_i1029" DrawAspect="Content" ObjectID="_1468075729" r:id="rId20">
            <o:LockedField>false</o:LockedField>
          </o:OLEObject>
        </w:object>
      </w:r>
    </w:p>
    <w:p>
      <w:pPr>
        <w:pStyle w:val="19"/>
        <w:jc w:val="center"/>
      </w:pPr>
      <w:r>
        <w:rPr>
          <w:rFonts w:hint="eastAsia"/>
        </w:rPr>
        <w:t xml:space="preserve">图 </w:t>
      </w:r>
      <w:r>
        <w:rPr>
          <w:rFonts w:hint="eastAsia"/>
          <w:lang w:val="en-US" w:eastAsia="zh-CN"/>
        </w:rPr>
        <w:t>B</w:t>
      </w:r>
      <w:r>
        <w:rPr>
          <w:rFonts w:hint="eastAsia"/>
        </w:rPr>
        <w:t xml:space="preserve">.1  </w:t>
      </w:r>
      <w:r>
        <w:rPr>
          <w:rFonts w:hint="eastAsia"/>
          <w:lang w:val="en-US" w:eastAsia="zh-CN"/>
        </w:rPr>
        <w:t>汽轮机小修</w:t>
      </w:r>
      <w:r>
        <w:rPr>
          <w:rFonts w:hint="eastAsia"/>
        </w:rPr>
        <w:t>保养逻辑框图</w:t>
      </w:r>
    </w:p>
    <w:p>
      <w:pPr>
        <w:pStyle w:val="19"/>
      </w:pPr>
    </w:p>
    <w:p>
      <w:pPr>
        <w:pStyle w:val="19"/>
      </w:pPr>
    </w:p>
    <w:p>
      <w:pPr>
        <w:pStyle w:val="64"/>
      </w:pPr>
      <w:bookmarkStart w:id="34" w:name="_Toc201584733"/>
      <w:bookmarkStart w:id="35" w:name="BKCKWX"/>
      <w:r>
        <w:rPr>
          <w:rFonts w:hint="eastAsia"/>
        </w:rPr>
        <w:t>参</w:t>
      </w:r>
      <w:r>
        <w:rPr>
          <w:rFonts w:hAnsi="黑体"/>
        </w:rPr>
        <w:t> </w:t>
      </w:r>
      <w:r>
        <w:rPr>
          <w:rFonts w:hint="eastAsia"/>
        </w:rPr>
        <w:t>考</w:t>
      </w:r>
      <w:r>
        <w:rPr>
          <w:rFonts w:hAnsi="黑体"/>
        </w:rPr>
        <w:t> </w:t>
      </w:r>
      <w:r>
        <w:rPr>
          <w:rFonts w:hint="eastAsia"/>
        </w:rPr>
        <w:t>文</w:t>
      </w:r>
      <w:r>
        <w:rPr>
          <w:rFonts w:hAnsi="黑体"/>
        </w:rPr>
        <w:t> </w:t>
      </w:r>
      <w:r>
        <w:rPr>
          <w:rFonts w:hint="eastAsia"/>
        </w:rPr>
        <w:t>献</w:t>
      </w:r>
      <w:bookmarkEnd w:id="34"/>
      <w:bookmarkEnd w:id="35"/>
    </w:p>
    <w:p>
      <w:pPr>
        <w:pStyle w:val="19"/>
        <w:ind w:firstLine="630" w:firstLineChars="300"/>
        <w:rPr>
          <w:rFonts w:hint="eastAsia"/>
        </w:rPr>
      </w:pPr>
    </w:p>
    <w:p>
      <w:pPr>
        <w:pStyle w:val="19"/>
        <w:ind w:firstLine="630" w:firstLineChars="300"/>
        <w:rPr>
          <w:rFonts w:hint="eastAsia"/>
        </w:rPr>
      </w:pPr>
    </w:p>
    <w:p>
      <w:pPr>
        <w:pStyle w:val="19"/>
      </w:pPr>
    </w:p>
    <w:p>
      <w:pPr>
        <w:pStyle w:val="19"/>
        <w:ind w:firstLine="630" w:firstLineChars="300"/>
        <w:rPr>
          <w:rFonts w:hint="eastAsia" w:ascii="Times New Roman" w:eastAsia="宋体"/>
          <w:lang w:val="en-US" w:eastAsia="zh-CN"/>
        </w:rPr>
      </w:pPr>
      <w:r>
        <w:rPr>
          <w:rFonts w:hint="eastAsia"/>
        </w:rPr>
        <w:t xml:space="preserve"> </w:t>
      </w:r>
      <w:r>
        <w:rPr>
          <w:rFonts w:ascii="Times New Roman"/>
        </w:rPr>
        <w:t>NB/T</w:t>
      </w:r>
      <w:r>
        <w:rPr>
          <w:rFonts w:hint="eastAsia" w:ascii="Times New Roman"/>
          <w:lang w:val="en-US" w:eastAsia="zh-CN"/>
        </w:rPr>
        <w:t xml:space="preserve"> 10600-2021  </w:t>
      </w:r>
      <w:r>
        <w:rPr>
          <w:rFonts w:hint="eastAsia"/>
        </w:rPr>
        <w:t xml:space="preserve"> </w:t>
      </w:r>
      <w:r>
        <w:rPr>
          <w:rFonts w:hint="eastAsia" w:ascii="Times New Roman"/>
          <w:lang w:val="en-US" w:eastAsia="zh-CN"/>
        </w:rPr>
        <w:t>核电厂汽轮机</w:t>
      </w:r>
      <w:r>
        <w:rPr>
          <w:rFonts w:ascii="Times New Roman"/>
        </w:rPr>
        <w:t>保养</w:t>
      </w:r>
      <w:r>
        <w:rPr>
          <w:rFonts w:hint="eastAsia" w:ascii="Times New Roman"/>
          <w:lang w:val="en-US" w:eastAsia="zh-CN"/>
        </w:rPr>
        <w:t>规范</w:t>
      </w:r>
    </w:p>
    <w:p>
      <w:pPr>
        <w:pStyle w:val="19"/>
      </w:pPr>
    </w:p>
    <w:p>
      <w:pPr>
        <w:pStyle w:val="130"/>
        <w:framePr w:wrap="around"/>
      </w:pPr>
      <w:r>
        <w:t>_________________________________</w:t>
      </w:r>
    </w:p>
    <w:sectPr>
      <w:pgSz w:w="11906" w:h="16838"/>
      <w:pgMar w:top="567" w:right="1134" w:bottom="1134" w:left="1837" w:header="1418" w:footer="1134" w:gutter="0"/>
      <w:pgNumType w:start="1"/>
      <w:cols w:space="425"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PAGE  \* MERGEFORMAT </w:instrText>
    </w:r>
    <w:r>
      <w:fldChar w:fldCharType="separate"/>
    </w:r>
    <w: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6"/>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36"/>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1"/>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61"/>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r>
      <w:fldChar w:fldCharType="begin"/>
    </w:r>
    <w:r>
      <w:instrText xml:space="preserve"> PAGE  \* MERGEFORMAT </w:instrText>
    </w:r>
    <w:r>
      <w:fldChar w:fldCharType="separate"/>
    </w:r>
    <w:r>
      <w:t>3</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PAGE  \* MERGEFORMAT </w:instrText>
    </w:r>
    <w:r>
      <w:fldChar w:fldCharType="separate"/>
    </w:r>
    <w:r>
      <w:t>4</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t>T/CNEA 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rPr>
        <w:rFonts w:hint="eastAsia"/>
      </w:rPr>
      <w:t>T</w:t>
    </w:r>
    <w:r>
      <w:t>/</w:t>
    </w:r>
    <w:r>
      <w:rPr>
        <w:rFonts w:hint="eastAsia"/>
      </w:rPr>
      <w:t>CNEA</w:t>
    </w:r>
    <w:r>
      <w:t xml:space="preserve"> 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rPr>
        <w:rFonts w:hint="eastAsia"/>
      </w:rPr>
      <w:t>T</w:t>
    </w:r>
    <w:r>
      <w:t>/</w:t>
    </w:r>
    <w:r>
      <w:rPr>
        <w:rFonts w:hint="eastAsia"/>
      </w:rPr>
      <w:t>CNEA</w:t>
    </w:r>
    <w:r>
      <w:t xml:space="preserve"> 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70507E"/>
    <w:multiLevelType w:val="singleLevel"/>
    <w:tmpl w:val="BA70507E"/>
    <w:lvl w:ilvl="0" w:tentative="0">
      <w:start w:val="1"/>
      <w:numFmt w:val="decimal"/>
      <w:suff w:val="nothing"/>
      <w:lvlText w:val="%1、"/>
      <w:lvlJc w:val="left"/>
    </w:lvl>
  </w:abstractNum>
  <w:abstractNum w:abstractNumId="1">
    <w:nsid w:val="079102AD"/>
    <w:multiLevelType w:val="multilevel"/>
    <w:tmpl w:val="079102AD"/>
    <w:lvl w:ilvl="0" w:tentative="0">
      <w:start w:val="1"/>
      <w:numFmt w:val="decimal"/>
      <w:pStyle w:val="51"/>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
    <w:nsid w:val="093C6778"/>
    <w:multiLevelType w:val="multilevel"/>
    <w:tmpl w:val="093C6778"/>
    <w:lvl w:ilvl="0" w:tentative="0">
      <w:start w:val="1"/>
      <w:numFmt w:val="decimal"/>
      <w:pStyle w:val="116"/>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AE367E9"/>
    <w:multiLevelType w:val="multilevel"/>
    <w:tmpl w:val="0AE367E9"/>
    <w:lvl w:ilvl="0" w:tentative="0">
      <w:start w:val="1"/>
      <w:numFmt w:val="none"/>
      <w:pStyle w:val="45"/>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4">
    <w:nsid w:val="0DDE2B46"/>
    <w:multiLevelType w:val="multilevel"/>
    <w:tmpl w:val="0DDE2B46"/>
    <w:lvl w:ilvl="0" w:tentative="0">
      <w:start w:val="1"/>
      <w:numFmt w:val="lowerLetter"/>
      <w:pStyle w:val="121"/>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5">
    <w:nsid w:val="1DBF583A"/>
    <w:multiLevelType w:val="multilevel"/>
    <w:tmpl w:val="1DBF583A"/>
    <w:lvl w:ilvl="0" w:tentative="0">
      <w:start w:val="1"/>
      <w:numFmt w:val="decimal"/>
      <w:pStyle w:val="58"/>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6">
    <w:nsid w:val="1FC91163"/>
    <w:multiLevelType w:val="multilevel"/>
    <w:tmpl w:val="1FC91163"/>
    <w:lvl w:ilvl="0" w:tentative="0">
      <w:start w:val="1"/>
      <w:numFmt w:val="decimal"/>
      <w:pStyle w:val="38"/>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5"/>
      <w:suff w:val="nothing"/>
      <w:lvlText w:val="%1.%2　"/>
      <w:lvlJc w:val="left"/>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39"/>
      <w:suff w:val="nothing"/>
      <w:lvlText w:val="%1.%2.%3　"/>
      <w:lvlJc w:val="left"/>
      <w:pPr>
        <w:ind w:left="-644" w:firstLine="0"/>
      </w:pPr>
      <w:rPr>
        <w:rFonts w:hint="eastAsia" w:ascii="黑体" w:hAnsi="Times New Roman" w:eastAsia="黑体"/>
        <w:b w:val="0"/>
        <w:i w:val="0"/>
        <w:sz w:val="21"/>
      </w:rPr>
    </w:lvl>
    <w:lvl w:ilvl="3" w:tentative="0">
      <w:start w:val="1"/>
      <w:numFmt w:val="decimal"/>
      <w:pStyle w:val="44"/>
      <w:suff w:val="nothing"/>
      <w:lvlText w:val="%1.%2.%3.%4　"/>
      <w:lvlJc w:val="left"/>
      <w:pPr>
        <w:ind w:left="0" w:firstLine="0"/>
      </w:pPr>
      <w:rPr>
        <w:rFonts w:hint="eastAsia" w:ascii="黑体" w:hAnsi="Times New Roman" w:eastAsia="黑体"/>
        <w:b w:val="0"/>
        <w:i w:val="0"/>
        <w:sz w:val="21"/>
      </w:rPr>
    </w:lvl>
    <w:lvl w:ilvl="4" w:tentative="0">
      <w:start w:val="1"/>
      <w:numFmt w:val="decimal"/>
      <w:pStyle w:val="48"/>
      <w:suff w:val="nothing"/>
      <w:lvlText w:val="%1.%2.%3.%4.%5　"/>
      <w:lvlJc w:val="left"/>
      <w:pPr>
        <w:ind w:left="0" w:firstLine="0"/>
      </w:pPr>
      <w:rPr>
        <w:rFonts w:hint="eastAsia" w:ascii="黑体" w:hAnsi="Times New Roman" w:eastAsia="黑体"/>
        <w:b w:val="0"/>
        <w:i w:val="0"/>
        <w:sz w:val="21"/>
      </w:rPr>
    </w:lvl>
    <w:lvl w:ilvl="5" w:tentative="0">
      <w:start w:val="1"/>
      <w:numFmt w:val="decimal"/>
      <w:pStyle w:val="49"/>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2A8F7113"/>
    <w:multiLevelType w:val="multilevel"/>
    <w:tmpl w:val="2A8F7113"/>
    <w:lvl w:ilvl="0" w:tentative="0">
      <w:start w:val="1"/>
      <w:numFmt w:val="upperLetter"/>
      <w:pStyle w:val="91"/>
      <w:suff w:val="space"/>
      <w:lvlText w:val="%1"/>
      <w:lvlJc w:val="left"/>
      <w:pPr>
        <w:ind w:left="623" w:hanging="425"/>
      </w:pPr>
      <w:rPr>
        <w:rFonts w:hint="eastAsia"/>
      </w:rPr>
    </w:lvl>
    <w:lvl w:ilvl="1" w:tentative="0">
      <w:start w:val="1"/>
      <w:numFmt w:val="decimal"/>
      <w:pStyle w:val="92"/>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8">
    <w:nsid w:val="2C5917C3"/>
    <w:multiLevelType w:val="multilevel"/>
    <w:tmpl w:val="2C5917C3"/>
    <w:lvl w:ilvl="0" w:tentative="0">
      <w:start w:val="1"/>
      <w:numFmt w:val="none"/>
      <w:pStyle w:val="41"/>
      <w:suff w:val="nothing"/>
      <w:lvlText w:val="%1——"/>
      <w:lvlJc w:val="left"/>
      <w:pPr>
        <w:ind w:left="833" w:hanging="408"/>
      </w:pPr>
      <w:rPr>
        <w:rFonts w:hint="eastAsia"/>
      </w:rPr>
    </w:lvl>
    <w:lvl w:ilvl="1" w:tentative="0">
      <w:start w:val="1"/>
      <w:numFmt w:val="bullet"/>
      <w:pStyle w:val="42"/>
      <w:lvlText w:val=""/>
      <w:lvlJc w:val="left"/>
      <w:pPr>
        <w:tabs>
          <w:tab w:val="left" w:pos="760"/>
        </w:tabs>
        <w:ind w:left="1264" w:hanging="413"/>
      </w:pPr>
      <w:rPr>
        <w:rFonts w:hint="default" w:ascii="Symbol" w:hAnsi="Symbol"/>
        <w:color w:val="auto"/>
      </w:rPr>
    </w:lvl>
    <w:lvl w:ilvl="2" w:tentative="0">
      <w:start w:val="1"/>
      <w:numFmt w:val="bullet"/>
      <w:pStyle w:val="53"/>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9">
    <w:nsid w:val="3D733618"/>
    <w:multiLevelType w:val="multilevel"/>
    <w:tmpl w:val="3D733618"/>
    <w:lvl w:ilvl="0" w:tentative="0">
      <w:start w:val="1"/>
      <w:numFmt w:val="decimal"/>
      <w:pStyle w:val="20"/>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0">
    <w:nsid w:val="44C50F90"/>
    <w:multiLevelType w:val="multilevel"/>
    <w:tmpl w:val="44C50F90"/>
    <w:lvl w:ilvl="0" w:tentative="0">
      <w:start w:val="1"/>
      <w:numFmt w:val="lowerLetter"/>
      <w:pStyle w:val="52"/>
      <w:lvlText w:val="%1)"/>
      <w:lvlJc w:val="left"/>
      <w:pPr>
        <w:tabs>
          <w:tab w:val="left" w:pos="840"/>
        </w:tabs>
        <w:ind w:left="839" w:hanging="419"/>
      </w:pPr>
      <w:rPr>
        <w:rFonts w:hint="eastAsia" w:ascii="宋体" w:eastAsia="宋体"/>
        <w:b w:val="0"/>
        <w:i w:val="0"/>
        <w:sz w:val="21"/>
        <w:szCs w:val="21"/>
      </w:rPr>
    </w:lvl>
    <w:lvl w:ilvl="1" w:tentative="0">
      <w:start w:val="1"/>
      <w:numFmt w:val="decimal"/>
      <w:pStyle w:val="47"/>
      <w:lvlText w:val="%2)"/>
      <w:lvlJc w:val="left"/>
      <w:pPr>
        <w:tabs>
          <w:tab w:val="left" w:pos="1260"/>
        </w:tabs>
        <w:ind w:left="1259" w:hanging="419"/>
      </w:pPr>
      <w:rPr>
        <w:rFonts w:hint="eastAsia"/>
      </w:rPr>
    </w:lvl>
    <w:lvl w:ilvl="2" w:tentative="0">
      <w:start w:val="1"/>
      <w:numFmt w:val="decimal"/>
      <w:pStyle w:val="54"/>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1">
    <w:nsid w:val="4B733A5F"/>
    <w:multiLevelType w:val="multilevel"/>
    <w:tmpl w:val="4B733A5F"/>
    <w:lvl w:ilvl="0" w:tentative="0">
      <w:start w:val="1"/>
      <w:numFmt w:val="decimal"/>
      <w:pStyle w:val="55"/>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2">
    <w:nsid w:val="557C2AF5"/>
    <w:multiLevelType w:val="multilevel"/>
    <w:tmpl w:val="557C2AF5"/>
    <w:lvl w:ilvl="0" w:tentative="0">
      <w:start w:val="1"/>
      <w:numFmt w:val="decimal"/>
      <w:pStyle w:val="129"/>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60B55DC2"/>
    <w:multiLevelType w:val="multilevel"/>
    <w:tmpl w:val="60B55DC2"/>
    <w:lvl w:ilvl="0" w:tentative="0">
      <w:start w:val="1"/>
      <w:numFmt w:val="upperLetter"/>
      <w:pStyle w:val="79"/>
      <w:lvlText w:val="%1"/>
      <w:lvlJc w:val="left"/>
      <w:pPr>
        <w:tabs>
          <w:tab w:val="left" w:pos="0"/>
        </w:tabs>
        <w:ind w:left="0" w:hanging="425"/>
      </w:pPr>
      <w:rPr>
        <w:rFonts w:hint="eastAsia"/>
      </w:rPr>
    </w:lvl>
    <w:lvl w:ilvl="1" w:tentative="0">
      <w:start w:val="1"/>
      <w:numFmt w:val="decimal"/>
      <w:pStyle w:val="80"/>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tentative="0">
      <w:start w:val="1"/>
      <w:numFmt w:val="decimal"/>
      <w:pStyle w:val="127"/>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57D3FBC"/>
    <w:multiLevelType w:val="multilevel"/>
    <w:tmpl w:val="657D3FBC"/>
    <w:lvl w:ilvl="0" w:tentative="0">
      <w:start w:val="1"/>
      <w:numFmt w:val="upperLetter"/>
      <w:pStyle w:val="77"/>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95"/>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96"/>
      <w:suff w:val="nothing"/>
      <w:lvlText w:val="%1.%2.%3　"/>
      <w:lvlJc w:val="left"/>
      <w:pPr>
        <w:ind w:left="0" w:firstLine="0"/>
      </w:pPr>
      <w:rPr>
        <w:rFonts w:hint="eastAsia" w:ascii="黑体" w:hAnsi="Times New Roman" w:eastAsia="黑体"/>
        <w:b w:val="0"/>
        <w:i w:val="0"/>
        <w:sz w:val="21"/>
      </w:rPr>
    </w:lvl>
    <w:lvl w:ilvl="3" w:tentative="0">
      <w:start w:val="1"/>
      <w:numFmt w:val="decimal"/>
      <w:pStyle w:val="81"/>
      <w:suff w:val="nothing"/>
      <w:lvlText w:val="%1.%2.%3.%4　"/>
      <w:lvlJc w:val="left"/>
      <w:pPr>
        <w:ind w:left="0" w:firstLine="0"/>
      </w:pPr>
      <w:rPr>
        <w:rFonts w:hint="eastAsia" w:ascii="黑体" w:hAnsi="Times New Roman" w:eastAsia="黑体"/>
        <w:b w:val="0"/>
        <w:i w:val="0"/>
        <w:sz w:val="21"/>
      </w:rPr>
    </w:lvl>
    <w:lvl w:ilvl="4" w:tentative="0">
      <w:start w:val="1"/>
      <w:numFmt w:val="decimal"/>
      <w:pStyle w:val="86"/>
      <w:suff w:val="nothing"/>
      <w:lvlText w:val="%1.%2.%3.%4.%5　"/>
      <w:lvlJc w:val="left"/>
      <w:pPr>
        <w:ind w:left="0" w:firstLine="0"/>
      </w:pPr>
      <w:rPr>
        <w:rFonts w:hint="eastAsia" w:ascii="黑体" w:hAnsi="Times New Roman" w:eastAsia="黑体"/>
        <w:b w:val="0"/>
        <w:i w:val="0"/>
        <w:sz w:val="21"/>
      </w:rPr>
    </w:lvl>
    <w:lvl w:ilvl="5" w:tentative="0">
      <w:start w:val="1"/>
      <w:numFmt w:val="decimal"/>
      <w:pStyle w:val="89"/>
      <w:suff w:val="nothing"/>
      <w:lvlText w:val="%1.%2.%3.%4.%5.%6　"/>
      <w:lvlJc w:val="left"/>
      <w:pPr>
        <w:ind w:left="0" w:firstLine="0"/>
      </w:pPr>
      <w:rPr>
        <w:rFonts w:hint="eastAsia" w:ascii="黑体" w:hAnsi="Times New Roman" w:eastAsia="黑体"/>
        <w:b w:val="0"/>
        <w:i w:val="0"/>
        <w:sz w:val="21"/>
      </w:rPr>
    </w:lvl>
    <w:lvl w:ilvl="6" w:tentative="0">
      <w:start w:val="1"/>
      <w:numFmt w:val="decimal"/>
      <w:pStyle w:val="93"/>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D6C07CD"/>
    <w:multiLevelType w:val="multilevel"/>
    <w:tmpl w:val="6D6C07CD"/>
    <w:lvl w:ilvl="0" w:tentative="0">
      <w:start w:val="1"/>
      <w:numFmt w:val="lowerLetter"/>
      <w:pStyle w:val="98"/>
      <w:lvlText w:val="%1)"/>
      <w:lvlJc w:val="left"/>
      <w:pPr>
        <w:tabs>
          <w:tab w:val="left" w:pos="839"/>
        </w:tabs>
        <w:ind w:left="839" w:hanging="419"/>
      </w:pPr>
      <w:rPr>
        <w:rFonts w:hint="eastAsia" w:ascii="宋体" w:eastAsia="宋体"/>
        <w:b w:val="0"/>
        <w:i w:val="0"/>
        <w:sz w:val="21"/>
      </w:rPr>
    </w:lvl>
    <w:lvl w:ilvl="1" w:tentative="0">
      <w:start w:val="1"/>
      <w:numFmt w:val="decimal"/>
      <w:pStyle w:val="88"/>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7">
    <w:nsid w:val="6DBF04F4"/>
    <w:multiLevelType w:val="multilevel"/>
    <w:tmpl w:val="6DBF04F4"/>
    <w:lvl w:ilvl="0" w:tentative="0">
      <w:start w:val="1"/>
      <w:numFmt w:val="none"/>
      <w:pStyle w:val="50"/>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8">
    <w:nsid w:val="7DC3E339"/>
    <w:multiLevelType w:val="singleLevel"/>
    <w:tmpl w:val="7DC3E339"/>
    <w:lvl w:ilvl="0" w:tentative="0">
      <w:start w:val="1"/>
      <w:numFmt w:val="decimal"/>
      <w:suff w:val="nothing"/>
      <w:lvlText w:val="%1、"/>
      <w:lvlJc w:val="left"/>
    </w:lvl>
  </w:abstractNum>
  <w:num w:numId="1">
    <w:abstractNumId w:val="9"/>
  </w:num>
  <w:num w:numId="2">
    <w:abstractNumId w:val="6"/>
  </w:num>
  <w:num w:numId="3">
    <w:abstractNumId w:val="8"/>
  </w:num>
  <w:num w:numId="4">
    <w:abstractNumId w:val="3"/>
  </w:num>
  <w:num w:numId="5">
    <w:abstractNumId w:val="10"/>
  </w:num>
  <w:num w:numId="6">
    <w:abstractNumId w:val="17"/>
  </w:num>
  <w:num w:numId="7">
    <w:abstractNumId w:val="1"/>
  </w:num>
  <w:num w:numId="8">
    <w:abstractNumId w:val="11"/>
  </w:num>
  <w:num w:numId="9">
    <w:abstractNumId w:val="5"/>
  </w:num>
  <w:num w:numId="10">
    <w:abstractNumId w:val="15"/>
  </w:num>
  <w:num w:numId="11">
    <w:abstractNumId w:val="13"/>
  </w:num>
  <w:num w:numId="12">
    <w:abstractNumId w:val="16"/>
  </w:num>
  <w:num w:numId="13">
    <w:abstractNumId w:val="7"/>
  </w:num>
  <w:num w:numId="14">
    <w:abstractNumId w:val="2"/>
  </w:num>
  <w:num w:numId="15">
    <w:abstractNumId w:val="4"/>
  </w:num>
  <w:num w:numId="16">
    <w:abstractNumId w:val="14"/>
  </w:num>
  <w:num w:numId="17">
    <w:abstractNumId w:val="12"/>
  </w:num>
  <w:num w:numId="18">
    <w:abstractNumId w:val="0"/>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mirrorMargin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44"/>
    <w:rsid w:val="0000185F"/>
    <w:rsid w:val="00004999"/>
    <w:rsid w:val="0000586F"/>
    <w:rsid w:val="00013D86"/>
    <w:rsid w:val="00013E02"/>
    <w:rsid w:val="0002143C"/>
    <w:rsid w:val="00025A65"/>
    <w:rsid w:val="00026C31"/>
    <w:rsid w:val="00027280"/>
    <w:rsid w:val="000320A7"/>
    <w:rsid w:val="00035925"/>
    <w:rsid w:val="000607A3"/>
    <w:rsid w:val="00067CDF"/>
    <w:rsid w:val="00073B8B"/>
    <w:rsid w:val="00074FBE"/>
    <w:rsid w:val="0008225E"/>
    <w:rsid w:val="00083A09"/>
    <w:rsid w:val="0009005E"/>
    <w:rsid w:val="00092857"/>
    <w:rsid w:val="000968EF"/>
    <w:rsid w:val="000A20A9"/>
    <w:rsid w:val="000A48B1"/>
    <w:rsid w:val="000B3143"/>
    <w:rsid w:val="000C6B05"/>
    <w:rsid w:val="000C6DD6"/>
    <w:rsid w:val="000C729C"/>
    <w:rsid w:val="000C73D4"/>
    <w:rsid w:val="000D3D4C"/>
    <w:rsid w:val="000D4F51"/>
    <w:rsid w:val="000D718B"/>
    <w:rsid w:val="000E0C46"/>
    <w:rsid w:val="000F030C"/>
    <w:rsid w:val="000F129C"/>
    <w:rsid w:val="00102230"/>
    <w:rsid w:val="001056DE"/>
    <w:rsid w:val="00111A2B"/>
    <w:rsid w:val="001124C0"/>
    <w:rsid w:val="00126F80"/>
    <w:rsid w:val="0013175F"/>
    <w:rsid w:val="001512B4"/>
    <w:rsid w:val="001620A5"/>
    <w:rsid w:val="00164E53"/>
    <w:rsid w:val="0016699D"/>
    <w:rsid w:val="00175159"/>
    <w:rsid w:val="00176208"/>
    <w:rsid w:val="0018211B"/>
    <w:rsid w:val="001840D3"/>
    <w:rsid w:val="001900F8"/>
    <w:rsid w:val="00191258"/>
    <w:rsid w:val="00192680"/>
    <w:rsid w:val="00193037"/>
    <w:rsid w:val="00193A2C"/>
    <w:rsid w:val="001A288E"/>
    <w:rsid w:val="001B6DC2"/>
    <w:rsid w:val="001C149C"/>
    <w:rsid w:val="001C21AC"/>
    <w:rsid w:val="001C47BA"/>
    <w:rsid w:val="001C59EA"/>
    <w:rsid w:val="001D406C"/>
    <w:rsid w:val="001D41EE"/>
    <w:rsid w:val="001D7FFB"/>
    <w:rsid w:val="001E0380"/>
    <w:rsid w:val="001E13B1"/>
    <w:rsid w:val="001F3A19"/>
    <w:rsid w:val="0023375E"/>
    <w:rsid w:val="00234467"/>
    <w:rsid w:val="00237D8D"/>
    <w:rsid w:val="00241DA2"/>
    <w:rsid w:val="00247FEE"/>
    <w:rsid w:val="00250E7D"/>
    <w:rsid w:val="002565D5"/>
    <w:rsid w:val="002622C0"/>
    <w:rsid w:val="002705D0"/>
    <w:rsid w:val="002778AE"/>
    <w:rsid w:val="0028269A"/>
    <w:rsid w:val="00283590"/>
    <w:rsid w:val="00286973"/>
    <w:rsid w:val="00294E70"/>
    <w:rsid w:val="002A1924"/>
    <w:rsid w:val="002A7420"/>
    <w:rsid w:val="002B0F12"/>
    <w:rsid w:val="002B1308"/>
    <w:rsid w:val="002B4554"/>
    <w:rsid w:val="002C72D8"/>
    <w:rsid w:val="002C7727"/>
    <w:rsid w:val="002D11FA"/>
    <w:rsid w:val="002E0DDF"/>
    <w:rsid w:val="002E2906"/>
    <w:rsid w:val="002E5635"/>
    <w:rsid w:val="002E64C3"/>
    <w:rsid w:val="002E6A2C"/>
    <w:rsid w:val="002E76F4"/>
    <w:rsid w:val="002F1D8C"/>
    <w:rsid w:val="002F21DA"/>
    <w:rsid w:val="00301F39"/>
    <w:rsid w:val="00323DA2"/>
    <w:rsid w:val="00325926"/>
    <w:rsid w:val="0032733E"/>
    <w:rsid w:val="00327A8A"/>
    <w:rsid w:val="00336610"/>
    <w:rsid w:val="00343F73"/>
    <w:rsid w:val="00345060"/>
    <w:rsid w:val="0035323B"/>
    <w:rsid w:val="003609D2"/>
    <w:rsid w:val="00363F22"/>
    <w:rsid w:val="00375564"/>
    <w:rsid w:val="00383191"/>
    <w:rsid w:val="00386DED"/>
    <w:rsid w:val="003912E7"/>
    <w:rsid w:val="00393947"/>
    <w:rsid w:val="00397251"/>
    <w:rsid w:val="003A2275"/>
    <w:rsid w:val="003A6A4F"/>
    <w:rsid w:val="003A7088"/>
    <w:rsid w:val="003B00DF"/>
    <w:rsid w:val="003B1275"/>
    <w:rsid w:val="003B1778"/>
    <w:rsid w:val="003C11CB"/>
    <w:rsid w:val="003C75F3"/>
    <w:rsid w:val="003C78A3"/>
    <w:rsid w:val="003E1867"/>
    <w:rsid w:val="003E4DF1"/>
    <w:rsid w:val="003E5729"/>
    <w:rsid w:val="003F4EE0"/>
    <w:rsid w:val="00400D6E"/>
    <w:rsid w:val="00402153"/>
    <w:rsid w:val="00402FC1"/>
    <w:rsid w:val="004137A0"/>
    <w:rsid w:val="00425082"/>
    <w:rsid w:val="00431DEB"/>
    <w:rsid w:val="00446B29"/>
    <w:rsid w:val="00453F9A"/>
    <w:rsid w:val="00465EB3"/>
    <w:rsid w:val="00471E91"/>
    <w:rsid w:val="00474675"/>
    <w:rsid w:val="0047470C"/>
    <w:rsid w:val="00480EE2"/>
    <w:rsid w:val="00486A08"/>
    <w:rsid w:val="004A35F9"/>
    <w:rsid w:val="004B24C1"/>
    <w:rsid w:val="004C0049"/>
    <w:rsid w:val="004C292F"/>
    <w:rsid w:val="00510280"/>
    <w:rsid w:val="00513D73"/>
    <w:rsid w:val="00514A43"/>
    <w:rsid w:val="005174E5"/>
    <w:rsid w:val="00522393"/>
    <w:rsid w:val="00522620"/>
    <w:rsid w:val="00525656"/>
    <w:rsid w:val="0053288A"/>
    <w:rsid w:val="00534C02"/>
    <w:rsid w:val="0054264B"/>
    <w:rsid w:val="00542E76"/>
    <w:rsid w:val="00543786"/>
    <w:rsid w:val="005533D7"/>
    <w:rsid w:val="005703DE"/>
    <w:rsid w:val="0058464E"/>
    <w:rsid w:val="005A01CB"/>
    <w:rsid w:val="005A58FF"/>
    <w:rsid w:val="005A5EAF"/>
    <w:rsid w:val="005A64C0"/>
    <w:rsid w:val="005B3C11"/>
    <w:rsid w:val="005C1C28"/>
    <w:rsid w:val="005C6DB5"/>
    <w:rsid w:val="005E13FA"/>
    <w:rsid w:val="005E19E7"/>
    <w:rsid w:val="00606E65"/>
    <w:rsid w:val="0061716C"/>
    <w:rsid w:val="006243A1"/>
    <w:rsid w:val="00632E56"/>
    <w:rsid w:val="006357B3"/>
    <w:rsid w:val="00635AB6"/>
    <w:rsid w:val="00635CBA"/>
    <w:rsid w:val="0064338B"/>
    <w:rsid w:val="00646542"/>
    <w:rsid w:val="006504F4"/>
    <w:rsid w:val="00654BC9"/>
    <w:rsid w:val="006552FD"/>
    <w:rsid w:val="00663AF3"/>
    <w:rsid w:val="00666B6C"/>
    <w:rsid w:val="00682682"/>
    <w:rsid w:val="00682702"/>
    <w:rsid w:val="00692368"/>
    <w:rsid w:val="006A0455"/>
    <w:rsid w:val="006A2EBC"/>
    <w:rsid w:val="006A5EA0"/>
    <w:rsid w:val="006A783B"/>
    <w:rsid w:val="006A7B33"/>
    <w:rsid w:val="006B4E13"/>
    <w:rsid w:val="006B75DD"/>
    <w:rsid w:val="006C6141"/>
    <w:rsid w:val="006C67E0"/>
    <w:rsid w:val="006C7ABA"/>
    <w:rsid w:val="006C7F43"/>
    <w:rsid w:val="006D0D60"/>
    <w:rsid w:val="006D1122"/>
    <w:rsid w:val="006D3C00"/>
    <w:rsid w:val="006D79AF"/>
    <w:rsid w:val="006E3675"/>
    <w:rsid w:val="006E4A7F"/>
    <w:rsid w:val="006F1573"/>
    <w:rsid w:val="00704DF6"/>
    <w:rsid w:val="0070651C"/>
    <w:rsid w:val="007132A3"/>
    <w:rsid w:val="00716421"/>
    <w:rsid w:val="00724EFB"/>
    <w:rsid w:val="007265AD"/>
    <w:rsid w:val="00734142"/>
    <w:rsid w:val="007419C3"/>
    <w:rsid w:val="007467A7"/>
    <w:rsid w:val="007469DD"/>
    <w:rsid w:val="0074741B"/>
    <w:rsid w:val="0074759E"/>
    <w:rsid w:val="007478EA"/>
    <w:rsid w:val="0075415C"/>
    <w:rsid w:val="00763502"/>
    <w:rsid w:val="007913AB"/>
    <w:rsid w:val="007914F7"/>
    <w:rsid w:val="007B1625"/>
    <w:rsid w:val="007B706E"/>
    <w:rsid w:val="007B71EB"/>
    <w:rsid w:val="007C6205"/>
    <w:rsid w:val="007C686A"/>
    <w:rsid w:val="007C728E"/>
    <w:rsid w:val="007D2C53"/>
    <w:rsid w:val="007D3D60"/>
    <w:rsid w:val="007E1980"/>
    <w:rsid w:val="007E2C28"/>
    <w:rsid w:val="007E4B76"/>
    <w:rsid w:val="007E5EA8"/>
    <w:rsid w:val="007F0CF1"/>
    <w:rsid w:val="007F12A5"/>
    <w:rsid w:val="007F4CF1"/>
    <w:rsid w:val="007F758D"/>
    <w:rsid w:val="007F7D52"/>
    <w:rsid w:val="00802DCA"/>
    <w:rsid w:val="0080654C"/>
    <w:rsid w:val="008071C6"/>
    <w:rsid w:val="00817A00"/>
    <w:rsid w:val="00835DB3"/>
    <w:rsid w:val="0083617B"/>
    <w:rsid w:val="008371BD"/>
    <w:rsid w:val="00846CEB"/>
    <w:rsid w:val="0085030F"/>
    <w:rsid w:val="008504A8"/>
    <w:rsid w:val="0085282E"/>
    <w:rsid w:val="00854506"/>
    <w:rsid w:val="0087198C"/>
    <w:rsid w:val="00872C1F"/>
    <w:rsid w:val="00873B42"/>
    <w:rsid w:val="008856D8"/>
    <w:rsid w:val="00892E82"/>
    <w:rsid w:val="008C1B58"/>
    <w:rsid w:val="008C39AE"/>
    <w:rsid w:val="008C590D"/>
    <w:rsid w:val="008E031B"/>
    <w:rsid w:val="008E6CD6"/>
    <w:rsid w:val="008E7029"/>
    <w:rsid w:val="008E7EF6"/>
    <w:rsid w:val="008F1F98"/>
    <w:rsid w:val="008F6758"/>
    <w:rsid w:val="009040DD"/>
    <w:rsid w:val="00905B47"/>
    <w:rsid w:val="0091331C"/>
    <w:rsid w:val="00925155"/>
    <w:rsid w:val="009279DE"/>
    <w:rsid w:val="00930116"/>
    <w:rsid w:val="0094212C"/>
    <w:rsid w:val="00954689"/>
    <w:rsid w:val="009617C9"/>
    <w:rsid w:val="00961C93"/>
    <w:rsid w:val="00965324"/>
    <w:rsid w:val="0097091E"/>
    <w:rsid w:val="009760D3"/>
    <w:rsid w:val="00977132"/>
    <w:rsid w:val="00981A4B"/>
    <w:rsid w:val="00982501"/>
    <w:rsid w:val="009877D3"/>
    <w:rsid w:val="00994E8F"/>
    <w:rsid w:val="009951DC"/>
    <w:rsid w:val="009959BB"/>
    <w:rsid w:val="00997158"/>
    <w:rsid w:val="009A12D7"/>
    <w:rsid w:val="009A3A7C"/>
    <w:rsid w:val="009B2ADB"/>
    <w:rsid w:val="009B603A"/>
    <w:rsid w:val="009C2D0E"/>
    <w:rsid w:val="009C3DAC"/>
    <w:rsid w:val="009C42E0"/>
    <w:rsid w:val="009D5362"/>
    <w:rsid w:val="009E1415"/>
    <w:rsid w:val="009E57DA"/>
    <w:rsid w:val="009E6116"/>
    <w:rsid w:val="00A02E43"/>
    <w:rsid w:val="00A065F9"/>
    <w:rsid w:val="00A07F34"/>
    <w:rsid w:val="00A22154"/>
    <w:rsid w:val="00A25C38"/>
    <w:rsid w:val="00A36BBE"/>
    <w:rsid w:val="00A4307A"/>
    <w:rsid w:val="00A47EBB"/>
    <w:rsid w:val="00A51CDD"/>
    <w:rsid w:val="00A6730D"/>
    <w:rsid w:val="00A71625"/>
    <w:rsid w:val="00A71B9B"/>
    <w:rsid w:val="00A751C7"/>
    <w:rsid w:val="00A87844"/>
    <w:rsid w:val="00AA038C"/>
    <w:rsid w:val="00AA7A09"/>
    <w:rsid w:val="00AB3B50"/>
    <w:rsid w:val="00AC05B1"/>
    <w:rsid w:val="00AD356C"/>
    <w:rsid w:val="00AE2914"/>
    <w:rsid w:val="00AE6D15"/>
    <w:rsid w:val="00AF3403"/>
    <w:rsid w:val="00B04182"/>
    <w:rsid w:val="00B07AE3"/>
    <w:rsid w:val="00B1010F"/>
    <w:rsid w:val="00B11430"/>
    <w:rsid w:val="00B2012E"/>
    <w:rsid w:val="00B252FF"/>
    <w:rsid w:val="00B353EB"/>
    <w:rsid w:val="00B439C4"/>
    <w:rsid w:val="00B4535E"/>
    <w:rsid w:val="00B52A8C"/>
    <w:rsid w:val="00B60BC4"/>
    <w:rsid w:val="00B636A8"/>
    <w:rsid w:val="00B665C6"/>
    <w:rsid w:val="00B805AF"/>
    <w:rsid w:val="00B822AD"/>
    <w:rsid w:val="00B869EC"/>
    <w:rsid w:val="00B936BA"/>
    <w:rsid w:val="00B9397A"/>
    <w:rsid w:val="00B9633D"/>
    <w:rsid w:val="00B97A78"/>
    <w:rsid w:val="00BA2EBE"/>
    <w:rsid w:val="00BA7267"/>
    <w:rsid w:val="00BB0F28"/>
    <w:rsid w:val="00BB458A"/>
    <w:rsid w:val="00BC5F77"/>
    <w:rsid w:val="00BD00D3"/>
    <w:rsid w:val="00BD1659"/>
    <w:rsid w:val="00BD2D39"/>
    <w:rsid w:val="00BD3AA9"/>
    <w:rsid w:val="00BD4A18"/>
    <w:rsid w:val="00BD6DB2"/>
    <w:rsid w:val="00BE11CF"/>
    <w:rsid w:val="00BE21AB"/>
    <w:rsid w:val="00BE55CB"/>
    <w:rsid w:val="00BF3213"/>
    <w:rsid w:val="00BF617A"/>
    <w:rsid w:val="00C0379D"/>
    <w:rsid w:val="00C03931"/>
    <w:rsid w:val="00C05FE3"/>
    <w:rsid w:val="00C2136D"/>
    <w:rsid w:val="00C214EE"/>
    <w:rsid w:val="00C2314B"/>
    <w:rsid w:val="00C24971"/>
    <w:rsid w:val="00C252CA"/>
    <w:rsid w:val="00C26BE5"/>
    <w:rsid w:val="00C26E4D"/>
    <w:rsid w:val="00C27909"/>
    <w:rsid w:val="00C27B03"/>
    <w:rsid w:val="00C314E1"/>
    <w:rsid w:val="00C34397"/>
    <w:rsid w:val="00C4095D"/>
    <w:rsid w:val="00C601D2"/>
    <w:rsid w:val="00C6415E"/>
    <w:rsid w:val="00C65BCC"/>
    <w:rsid w:val="00C66970"/>
    <w:rsid w:val="00C8691C"/>
    <w:rsid w:val="00CA168A"/>
    <w:rsid w:val="00CA357E"/>
    <w:rsid w:val="00CA44F9"/>
    <w:rsid w:val="00CA4A69"/>
    <w:rsid w:val="00CC3E0C"/>
    <w:rsid w:val="00CC58D3"/>
    <w:rsid w:val="00CC784D"/>
    <w:rsid w:val="00CD6C0C"/>
    <w:rsid w:val="00D0337B"/>
    <w:rsid w:val="00D040E0"/>
    <w:rsid w:val="00D079B2"/>
    <w:rsid w:val="00D114E9"/>
    <w:rsid w:val="00D429C6"/>
    <w:rsid w:val="00D47748"/>
    <w:rsid w:val="00D54CC3"/>
    <w:rsid w:val="00D6041A"/>
    <w:rsid w:val="00D633EB"/>
    <w:rsid w:val="00D65CB1"/>
    <w:rsid w:val="00D82FF7"/>
    <w:rsid w:val="00D847FE"/>
    <w:rsid w:val="00D903D8"/>
    <w:rsid w:val="00D964EA"/>
    <w:rsid w:val="00D966D0"/>
    <w:rsid w:val="00DA0C59"/>
    <w:rsid w:val="00DA3991"/>
    <w:rsid w:val="00DB4285"/>
    <w:rsid w:val="00DB7E6C"/>
    <w:rsid w:val="00DC02EB"/>
    <w:rsid w:val="00DD5A29"/>
    <w:rsid w:val="00DD5D9D"/>
    <w:rsid w:val="00DE35CB"/>
    <w:rsid w:val="00DF21E9"/>
    <w:rsid w:val="00E00F14"/>
    <w:rsid w:val="00E06386"/>
    <w:rsid w:val="00E24EB4"/>
    <w:rsid w:val="00E24FE9"/>
    <w:rsid w:val="00E320ED"/>
    <w:rsid w:val="00E33AFB"/>
    <w:rsid w:val="00E34218"/>
    <w:rsid w:val="00E46282"/>
    <w:rsid w:val="00E5216E"/>
    <w:rsid w:val="00E55D35"/>
    <w:rsid w:val="00E82344"/>
    <w:rsid w:val="00E84C82"/>
    <w:rsid w:val="00E84D64"/>
    <w:rsid w:val="00E87408"/>
    <w:rsid w:val="00E914C4"/>
    <w:rsid w:val="00E934F5"/>
    <w:rsid w:val="00E96961"/>
    <w:rsid w:val="00EA72EC"/>
    <w:rsid w:val="00EB11CB"/>
    <w:rsid w:val="00EB275A"/>
    <w:rsid w:val="00EB786A"/>
    <w:rsid w:val="00EC1578"/>
    <w:rsid w:val="00EC1C72"/>
    <w:rsid w:val="00EC3CC9"/>
    <w:rsid w:val="00EC680A"/>
    <w:rsid w:val="00EE2BED"/>
    <w:rsid w:val="00EE374B"/>
    <w:rsid w:val="00F11BB5"/>
    <w:rsid w:val="00F1417B"/>
    <w:rsid w:val="00F34B99"/>
    <w:rsid w:val="00F520DC"/>
    <w:rsid w:val="00F52DAB"/>
    <w:rsid w:val="00F543F0"/>
    <w:rsid w:val="00F81D29"/>
    <w:rsid w:val="00F91C4D"/>
    <w:rsid w:val="00F92FD9"/>
    <w:rsid w:val="00FA6684"/>
    <w:rsid w:val="00FA731E"/>
    <w:rsid w:val="00FB2B38"/>
    <w:rsid w:val="00FC1C60"/>
    <w:rsid w:val="00FC2AB7"/>
    <w:rsid w:val="00FC6358"/>
    <w:rsid w:val="00FD320D"/>
    <w:rsid w:val="00FE23DE"/>
    <w:rsid w:val="0123682A"/>
    <w:rsid w:val="01256F97"/>
    <w:rsid w:val="013159AB"/>
    <w:rsid w:val="013F32CC"/>
    <w:rsid w:val="01666F30"/>
    <w:rsid w:val="016A5202"/>
    <w:rsid w:val="016E5CAD"/>
    <w:rsid w:val="01BE5DEA"/>
    <w:rsid w:val="01CC0DBA"/>
    <w:rsid w:val="01D07389"/>
    <w:rsid w:val="01DE2BF5"/>
    <w:rsid w:val="020B6BCD"/>
    <w:rsid w:val="021666C3"/>
    <w:rsid w:val="02191C02"/>
    <w:rsid w:val="025B12BB"/>
    <w:rsid w:val="02830E5D"/>
    <w:rsid w:val="02AC6283"/>
    <w:rsid w:val="02CB6715"/>
    <w:rsid w:val="030A4CDA"/>
    <w:rsid w:val="03123218"/>
    <w:rsid w:val="034623EE"/>
    <w:rsid w:val="035E7A94"/>
    <w:rsid w:val="0365439D"/>
    <w:rsid w:val="039D18E6"/>
    <w:rsid w:val="039F6B6F"/>
    <w:rsid w:val="03EB0833"/>
    <w:rsid w:val="03F20068"/>
    <w:rsid w:val="04097F2D"/>
    <w:rsid w:val="042D4C6A"/>
    <w:rsid w:val="04484406"/>
    <w:rsid w:val="0458352F"/>
    <w:rsid w:val="048408DE"/>
    <w:rsid w:val="04B73549"/>
    <w:rsid w:val="04D13CFE"/>
    <w:rsid w:val="04E46EF0"/>
    <w:rsid w:val="050C07C1"/>
    <w:rsid w:val="052A22B6"/>
    <w:rsid w:val="0542670C"/>
    <w:rsid w:val="058165E5"/>
    <w:rsid w:val="05854E9B"/>
    <w:rsid w:val="05A45750"/>
    <w:rsid w:val="05B26144"/>
    <w:rsid w:val="05C075FF"/>
    <w:rsid w:val="05F226EE"/>
    <w:rsid w:val="06014289"/>
    <w:rsid w:val="061D6D0E"/>
    <w:rsid w:val="06274EC6"/>
    <w:rsid w:val="065B3BFA"/>
    <w:rsid w:val="0662770E"/>
    <w:rsid w:val="067C4117"/>
    <w:rsid w:val="06976AC0"/>
    <w:rsid w:val="06A54888"/>
    <w:rsid w:val="06BF20FD"/>
    <w:rsid w:val="06E053D3"/>
    <w:rsid w:val="06ED05B8"/>
    <w:rsid w:val="071D753B"/>
    <w:rsid w:val="0733656D"/>
    <w:rsid w:val="07542D4A"/>
    <w:rsid w:val="0759609B"/>
    <w:rsid w:val="07CD3845"/>
    <w:rsid w:val="07E93FCA"/>
    <w:rsid w:val="07EC4B4C"/>
    <w:rsid w:val="085A54A7"/>
    <w:rsid w:val="085E5120"/>
    <w:rsid w:val="086D32A4"/>
    <w:rsid w:val="08897ECE"/>
    <w:rsid w:val="088F199B"/>
    <w:rsid w:val="08BB245F"/>
    <w:rsid w:val="08C2683B"/>
    <w:rsid w:val="090179C0"/>
    <w:rsid w:val="093C6053"/>
    <w:rsid w:val="09726E1C"/>
    <w:rsid w:val="09C22C49"/>
    <w:rsid w:val="09D31B3C"/>
    <w:rsid w:val="0A2F210F"/>
    <w:rsid w:val="0A395BDA"/>
    <w:rsid w:val="0A515D78"/>
    <w:rsid w:val="0A555C49"/>
    <w:rsid w:val="0A7F33B8"/>
    <w:rsid w:val="0A870606"/>
    <w:rsid w:val="0A9702C7"/>
    <w:rsid w:val="0AD304AC"/>
    <w:rsid w:val="0AEE6998"/>
    <w:rsid w:val="0AF0291D"/>
    <w:rsid w:val="0AFE009B"/>
    <w:rsid w:val="0B316AAE"/>
    <w:rsid w:val="0B414C9A"/>
    <w:rsid w:val="0B4E692B"/>
    <w:rsid w:val="0B534459"/>
    <w:rsid w:val="0B615182"/>
    <w:rsid w:val="0B796C5C"/>
    <w:rsid w:val="0B7E6AB6"/>
    <w:rsid w:val="0B854303"/>
    <w:rsid w:val="0BAF5B2B"/>
    <w:rsid w:val="0BE175F5"/>
    <w:rsid w:val="0BFA1670"/>
    <w:rsid w:val="0C3D45E5"/>
    <w:rsid w:val="0C717C05"/>
    <w:rsid w:val="0C81119B"/>
    <w:rsid w:val="0C9F66CF"/>
    <w:rsid w:val="0CAE2EBC"/>
    <w:rsid w:val="0CE010CE"/>
    <w:rsid w:val="0CE0538F"/>
    <w:rsid w:val="0D4728C1"/>
    <w:rsid w:val="0D5003EA"/>
    <w:rsid w:val="0DD54741"/>
    <w:rsid w:val="0E117BC2"/>
    <w:rsid w:val="0E2965CE"/>
    <w:rsid w:val="0E950205"/>
    <w:rsid w:val="0F196408"/>
    <w:rsid w:val="0F6273CA"/>
    <w:rsid w:val="0F8A728A"/>
    <w:rsid w:val="0F8C44D1"/>
    <w:rsid w:val="0FD26785"/>
    <w:rsid w:val="0FE909B1"/>
    <w:rsid w:val="0FEF62EE"/>
    <w:rsid w:val="10170D00"/>
    <w:rsid w:val="101F096D"/>
    <w:rsid w:val="103024C6"/>
    <w:rsid w:val="10453175"/>
    <w:rsid w:val="105254E4"/>
    <w:rsid w:val="10694056"/>
    <w:rsid w:val="10B90765"/>
    <w:rsid w:val="10CE15C9"/>
    <w:rsid w:val="10ED2754"/>
    <w:rsid w:val="111147A9"/>
    <w:rsid w:val="113E1B00"/>
    <w:rsid w:val="11572D96"/>
    <w:rsid w:val="117571BB"/>
    <w:rsid w:val="117A54CA"/>
    <w:rsid w:val="11A021F8"/>
    <w:rsid w:val="11CA68BF"/>
    <w:rsid w:val="11D62156"/>
    <w:rsid w:val="11E3548B"/>
    <w:rsid w:val="11F73642"/>
    <w:rsid w:val="12157C38"/>
    <w:rsid w:val="122E74FF"/>
    <w:rsid w:val="12313CE5"/>
    <w:rsid w:val="12361530"/>
    <w:rsid w:val="124E5814"/>
    <w:rsid w:val="12806DE9"/>
    <w:rsid w:val="12887F77"/>
    <w:rsid w:val="12EB64F0"/>
    <w:rsid w:val="12EC7458"/>
    <w:rsid w:val="130D7497"/>
    <w:rsid w:val="132B0660"/>
    <w:rsid w:val="13335D9C"/>
    <w:rsid w:val="1347382D"/>
    <w:rsid w:val="134D2BC0"/>
    <w:rsid w:val="13587C64"/>
    <w:rsid w:val="13706F2E"/>
    <w:rsid w:val="138335C1"/>
    <w:rsid w:val="138C099B"/>
    <w:rsid w:val="13A151CF"/>
    <w:rsid w:val="13BF501F"/>
    <w:rsid w:val="147A45C0"/>
    <w:rsid w:val="148E3042"/>
    <w:rsid w:val="14C048A0"/>
    <w:rsid w:val="14EC609F"/>
    <w:rsid w:val="152B620A"/>
    <w:rsid w:val="153357D8"/>
    <w:rsid w:val="153E66BC"/>
    <w:rsid w:val="1561633F"/>
    <w:rsid w:val="15771544"/>
    <w:rsid w:val="1584460A"/>
    <w:rsid w:val="15A85596"/>
    <w:rsid w:val="163F6D8E"/>
    <w:rsid w:val="16525047"/>
    <w:rsid w:val="165F7C9F"/>
    <w:rsid w:val="1673697E"/>
    <w:rsid w:val="169A71C8"/>
    <w:rsid w:val="169C0761"/>
    <w:rsid w:val="16DB3947"/>
    <w:rsid w:val="16EE7882"/>
    <w:rsid w:val="17006986"/>
    <w:rsid w:val="170A3ED8"/>
    <w:rsid w:val="175A4F5C"/>
    <w:rsid w:val="179B6628"/>
    <w:rsid w:val="17A63328"/>
    <w:rsid w:val="17A87F75"/>
    <w:rsid w:val="17F34527"/>
    <w:rsid w:val="182067EE"/>
    <w:rsid w:val="18534813"/>
    <w:rsid w:val="185A28FB"/>
    <w:rsid w:val="187D4E2F"/>
    <w:rsid w:val="18825398"/>
    <w:rsid w:val="18856299"/>
    <w:rsid w:val="188C65D3"/>
    <w:rsid w:val="18974A82"/>
    <w:rsid w:val="18AF200B"/>
    <w:rsid w:val="18D71629"/>
    <w:rsid w:val="18ED3153"/>
    <w:rsid w:val="197468D1"/>
    <w:rsid w:val="19892FF3"/>
    <w:rsid w:val="19B05BA0"/>
    <w:rsid w:val="1A707A6D"/>
    <w:rsid w:val="1AB3725D"/>
    <w:rsid w:val="1AC23C61"/>
    <w:rsid w:val="1AC54F79"/>
    <w:rsid w:val="1AD86198"/>
    <w:rsid w:val="1AF90597"/>
    <w:rsid w:val="1AFA2BDB"/>
    <w:rsid w:val="1B0F63F2"/>
    <w:rsid w:val="1B3327B8"/>
    <w:rsid w:val="1B622276"/>
    <w:rsid w:val="1B657081"/>
    <w:rsid w:val="1B6B798C"/>
    <w:rsid w:val="1B783AC0"/>
    <w:rsid w:val="1B9A00E8"/>
    <w:rsid w:val="1BA13662"/>
    <w:rsid w:val="1BA62876"/>
    <w:rsid w:val="1BF30D1B"/>
    <w:rsid w:val="1BFC4701"/>
    <w:rsid w:val="1BFC6CDB"/>
    <w:rsid w:val="1C1C260C"/>
    <w:rsid w:val="1C3D4A7C"/>
    <w:rsid w:val="1CB659F1"/>
    <w:rsid w:val="1CBE44A6"/>
    <w:rsid w:val="1CDD67F8"/>
    <w:rsid w:val="1CE71893"/>
    <w:rsid w:val="1D136CCC"/>
    <w:rsid w:val="1DA4247A"/>
    <w:rsid w:val="1DD974C4"/>
    <w:rsid w:val="1E3549E0"/>
    <w:rsid w:val="1E3D2820"/>
    <w:rsid w:val="1ED77EBA"/>
    <w:rsid w:val="1EE512C1"/>
    <w:rsid w:val="1EF849DE"/>
    <w:rsid w:val="1F340FC0"/>
    <w:rsid w:val="1F912EED"/>
    <w:rsid w:val="1F9A2C7A"/>
    <w:rsid w:val="1FAC4EEB"/>
    <w:rsid w:val="1FE42C15"/>
    <w:rsid w:val="20012DC3"/>
    <w:rsid w:val="201C0736"/>
    <w:rsid w:val="202E11D8"/>
    <w:rsid w:val="20310CA7"/>
    <w:rsid w:val="2033565F"/>
    <w:rsid w:val="205B1F3A"/>
    <w:rsid w:val="207F7CDD"/>
    <w:rsid w:val="208244E5"/>
    <w:rsid w:val="20955704"/>
    <w:rsid w:val="20C41D31"/>
    <w:rsid w:val="20DB25F5"/>
    <w:rsid w:val="20EE5508"/>
    <w:rsid w:val="217D6A92"/>
    <w:rsid w:val="21947825"/>
    <w:rsid w:val="21A91D49"/>
    <w:rsid w:val="21CB22FF"/>
    <w:rsid w:val="21D269F7"/>
    <w:rsid w:val="21E27199"/>
    <w:rsid w:val="220A0390"/>
    <w:rsid w:val="222C0C9D"/>
    <w:rsid w:val="2232195D"/>
    <w:rsid w:val="224720CB"/>
    <w:rsid w:val="22B01277"/>
    <w:rsid w:val="22B96D19"/>
    <w:rsid w:val="22D41285"/>
    <w:rsid w:val="22F679FC"/>
    <w:rsid w:val="23437A88"/>
    <w:rsid w:val="23613299"/>
    <w:rsid w:val="236D6C52"/>
    <w:rsid w:val="23862FDA"/>
    <w:rsid w:val="238F08E5"/>
    <w:rsid w:val="23B27BA0"/>
    <w:rsid w:val="23BF5416"/>
    <w:rsid w:val="23CA7445"/>
    <w:rsid w:val="23EC5196"/>
    <w:rsid w:val="24227B6D"/>
    <w:rsid w:val="243A3C0B"/>
    <w:rsid w:val="244E7A1E"/>
    <w:rsid w:val="246057D0"/>
    <w:rsid w:val="24F07227"/>
    <w:rsid w:val="24F55EFE"/>
    <w:rsid w:val="251E60B7"/>
    <w:rsid w:val="25255EF0"/>
    <w:rsid w:val="2560558E"/>
    <w:rsid w:val="256457D4"/>
    <w:rsid w:val="25690A93"/>
    <w:rsid w:val="256C6B71"/>
    <w:rsid w:val="258D7E49"/>
    <w:rsid w:val="25E8591B"/>
    <w:rsid w:val="25FC13BE"/>
    <w:rsid w:val="260415F2"/>
    <w:rsid w:val="26210C1E"/>
    <w:rsid w:val="26337D84"/>
    <w:rsid w:val="26893AC5"/>
    <w:rsid w:val="26B134AE"/>
    <w:rsid w:val="26CF3F69"/>
    <w:rsid w:val="26DB4F2C"/>
    <w:rsid w:val="26F15921"/>
    <w:rsid w:val="26F9200B"/>
    <w:rsid w:val="270962CA"/>
    <w:rsid w:val="272445CF"/>
    <w:rsid w:val="27381725"/>
    <w:rsid w:val="274D1BCC"/>
    <w:rsid w:val="27520F90"/>
    <w:rsid w:val="2768258F"/>
    <w:rsid w:val="27AC15FA"/>
    <w:rsid w:val="27AF712B"/>
    <w:rsid w:val="27C128C8"/>
    <w:rsid w:val="27D86739"/>
    <w:rsid w:val="27E61CF4"/>
    <w:rsid w:val="27F136FF"/>
    <w:rsid w:val="27F60D15"/>
    <w:rsid w:val="281E68A5"/>
    <w:rsid w:val="283D6944"/>
    <w:rsid w:val="28AC02F1"/>
    <w:rsid w:val="28B130BF"/>
    <w:rsid w:val="28CB4DAA"/>
    <w:rsid w:val="29116D7F"/>
    <w:rsid w:val="29435946"/>
    <w:rsid w:val="2955642C"/>
    <w:rsid w:val="298D7B20"/>
    <w:rsid w:val="29C21847"/>
    <w:rsid w:val="29E37FC4"/>
    <w:rsid w:val="29F050DC"/>
    <w:rsid w:val="2A041F58"/>
    <w:rsid w:val="2A055F83"/>
    <w:rsid w:val="2A092107"/>
    <w:rsid w:val="2A2F19EB"/>
    <w:rsid w:val="2A3F0C99"/>
    <w:rsid w:val="2ACB71B4"/>
    <w:rsid w:val="2ACC13D6"/>
    <w:rsid w:val="2AF60E59"/>
    <w:rsid w:val="2AFE685E"/>
    <w:rsid w:val="2B0B095F"/>
    <w:rsid w:val="2B1807D1"/>
    <w:rsid w:val="2B280C7F"/>
    <w:rsid w:val="2B3A1BFB"/>
    <w:rsid w:val="2B3C2B7F"/>
    <w:rsid w:val="2B797161"/>
    <w:rsid w:val="2B833DF4"/>
    <w:rsid w:val="2C526E44"/>
    <w:rsid w:val="2C817BF9"/>
    <w:rsid w:val="2D300FFE"/>
    <w:rsid w:val="2D430559"/>
    <w:rsid w:val="2D4F5795"/>
    <w:rsid w:val="2D904D31"/>
    <w:rsid w:val="2DBF031C"/>
    <w:rsid w:val="2DCC111C"/>
    <w:rsid w:val="2DE655CF"/>
    <w:rsid w:val="2E124E18"/>
    <w:rsid w:val="2E2C4873"/>
    <w:rsid w:val="2E3502DE"/>
    <w:rsid w:val="2EEF770D"/>
    <w:rsid w:val="2F09082E"/>
    <w:rsid w:val="2F673ED3"/>
    <w:rsid w:val="2F7E6069"/>
    <w:rsid w:val="2F934E7A"/>
    <w:rsid w:val="2FCD12F9"/>
    <w:rsid w:val="3012656A"/>
    <w:rsid w:val="3039741A"/>
    <w:rsid w:val="303B7C0D"/>
    <w:rsid w:val="303E6135"/>
    <w:rsid w:val="30503E51"/>
    <w:rsid w:val="30FC491E"/>
    <w:rsid w:val="310468E7"/>
    <w:rsid w:val="31184A7B"/>
    <w:rsid w:val="3139536C"/>
    <w:rsid w:val="3145389E"/>
    <w:rsid w:val="31764963"/>
    <w:rsid w:val="31A4347E"/>
    <w:rsid w:val="31A5559B"/>
    <w:rsid w:val="31A95B9B"/>
    <w:rsid w:val="31D17E14"/>
    <w:rsid w:val="31D67B72"/>
    <w:rsid w:val="31E24CC1"/>
    <w:rsid w:val="31FB371D"/>
    <w:rsid w:val="32142EFE"/>
    <w:rsid w:val="321B43C1"/>
    <w:rsid w:val="322D2CDA"/>
    <w:rsid w:val="323E367C"/>
    <w:rsid w:val="327239B0"/>
    <w:rsid w:val="32B15C7F"/>
    <w:rsid w:val="32B858B7"/>
    <w:rsid w:val="332B5ADF"/>
    <w:rsid w:val="33605860"/>
    <w:rsid w:val="337121D3"/>
    <w:rsid w:val="338B4FAA"/>
    <w:rsid w:val="33BD68B6"/>
    <w:rsid w:val="33BF6FAD"/>
    <w:rsid w:val="33C05D77"/>
    <w:rsid w:val="33D36567"/>
    <w:rsid w:val="346A5452"/>
    <w:rsid w:val="34717930"/>
    <w:rsid w:val="347E37B5"/>
    <w:rsid w:val="35523A9B"/>
    <w:rsid w:val="360062A6"/>
    <w:rsid w:val="36047B8C"/>
    <w:rsid w:val="3624222D"/>
    <w:rsid w:val="36743BF0"/>
    <w:rsid w:val="36B4704E"/>
    <w:rsid w:val="36FC5244"/>
    <w:rsid w:val="37037893"/>
    <w:rsid w:val="372A4A8E"/>
    <w:rsid w:val="375842D9"/>
    <w:rsid w:val="377F47FF"/>
    <w:rsid w:val="37803BFF"/>
    <w:rsid w:val="378828AA"/>
    <w:rsid w:val="37C5270E"/>
    <w:rsid w:val="37D72962"/>
    <w:rsid w:val="380431BA"/>
    <w:rsid w:val="38153792"/>
    <w:rsid w:val="384700C8"/>
    <w:rsid w:val="385B235C"/>
    <w:rsid w:val="38725AAB"/>
    <w:rsid w:val="388078EE"/>
    <w:rsid w:val="38F22FAF"/>
    <w:rsid w:val="391D0741"/>
    <w:rsid w:val="39343BEA"/>
    <w:rsid w:val="395632B4"/>
    <w:rsid w:val="39D00BC7"/>
    <w:rsid w:val="3A0E0662"/>
    <w:rsid w:val="3A1A4B61"/>
    <w:rsid w:val="3A3B3117"/>
    <w:rsid w:val="3A402444"/>
    <w:rsid w:val="3A806AAB"/>
    <w:rsid w:val="3A8A2E79"/>
    <w:rsid w:val="3A9803F1"/>
    <w:rsid w:val="3A9F0EB9"/>
    <w:rsid w:val="3ABF1172"/>
    <w:rsid w:val="3AF833DA"/>
    <w:rsid w:val="3AF87FB3"/>
    <w:rsid w:val="3B0B554E"/>
    <w:rsid w:val="3B384C6F"/>
    <w:rsid w:val="3B4F22FA"/>
    <w:rsid w:val="3B8E3503"/>
    <w:rsid w:val="3BC52C1E"/>
    <w:rsid w:val="3BDA18A4"/>
    <w:rsid w:val="3BEA1FA4"/>
    <w:rsid w:val="3BEC05A6"/>
    <w:rsid w:val="3C007580"/>
    <w:rsid w:val="3C13226C"/>
    <w:rsid w:val="3C1C362D"/>
    <w:rsid w:val="3C3A183D"/>
    <w:rsid w:val="3C7617C1"/>
    <w:rsid w:val="3CB55C21"/>
    <w:rsid w:val="3CD63528"/>
    <w:rsid w:val="3CF64185"/>
    <w:rsid w:val="3D461E16"/>
    <w:rsid w:val="3D4A6FF1"/>
    <w:rsid w:val="3D610F2C"/>
    <w:rsid w:val="3D715B9F"/>
    <w:rsid w:val="3D7A2E0E"/>
    <w:rsid w:val="3D9C7770"/>
    <w:rsid w:val="3DDA7189"/>
    <w:rsid w:val="3DEF0FAA"/>
    <w:rsid w:val="3DF379B0"/>
    <w:rsid w:val="3E0334CE"/>
    <w:rsid w:val="3E0D055A"/>
    <w:rsid w:val="3E1023B5"/>
    <w:rsid w:val="3E320C4C"/>
    <w:rsid w:val="3E600BAA"/>
    <w:rsid w:val="3E6B0ADA"/>
    <w:rsid w:val="3E8A3080"/>
    <w:rsid w:val="3EA44FC4"/>
    <w:rsid w:val="3ED95F70"/>
    <w:rsid w:val="3EF14D35"/>
    <w:rsid w:val="3F443B28"/>
    <w:rsid w:val="3F4A037B"/>
    <w:rsid w:val="3F761977"/>
    <w:rsid w:val="3F841B37"/>
    <w:rsid w:val="3FAF4D09"/>
    <w:rsid w:val="3FB62B14"/>
    <w:rsid w:val="3FC02039"/>
    <w:rsid w:val="3FD73770"/>
    <w:rsid w:val="3FEA5921"/>
    <w:rsid w:val="40050660"/>
    <w:rsid w:val="406519B3"/>
    <w:rsid w:val="408475C8"/>
    <w:rsid w:val="40973140"/>
    <w:rsid w:val="409F3905"/>
    <w:rsid w:val="40AC40A5"/>
    <w:rsid w:val="411C3A6B"/>
    <w:rsid w:val="411C61E6"/>
    <w:rsid w:val="41605D10"/>
    <w:rsid w:val="41A20F3B"/>
    <w:rsid w:val="41AD2FCF"/>
    <w:rsid w:val="41CD3503"/>
    <w:rsid w:val="420C1086"/>
    <w:rsid w:val="421A4A6A"/>
    <w:rsid w:val="42216661"/>
    <w:rsid w:val="42271614"/>
    <w:rsid w:val="425D6F87"/>
    <w:rsid w:val="42633843"/>
    <w:rsid w:val="426E52F5"/>
    <w:rsid w:val="42785FB7"/>
    <w:rsid w:val="4296250D"/>
    <w:rsid w:val="429C7054"/>
    <w:rsid w:val="42C27294"/>
    <w:rsid w:val="42E6098B"/>
    <w:rsid w:val="4333747B"/>
    <w:rsid w:val="43442EC5"/>
    <w:rsid w:val="438A680A"/>
    <w:rsid w:val="43A73D9D"/>
    <w:rsid w:val="44010313"/>
    <w:rsid w:val="4412325C"/>
    <w:rsid w:val="441D6879"/>
    <w:rsid w:val="443800FA"/>
    <w:rsid w:val="44386862"/>
    <w:rsid w:val="443A7CC7"/>
    <w:rsid w:val="44492A75"/>
    <w:rsid w:val="444A3897"/>
    <w:rsid w:val="446C3C93"/>
    <w:rsid w:val="44966044"/>
    <w:rsid w:val="44E43A6D"/>
    <w:rsid w:val="450863FF"/>
    <w:rsid w:val="450D6EEB"/>
    <w:rsid w:val="45564058"/>
    <w:rsid w:val="45777C5A"/>
    <w:rsid w:val="45966D84"/>
    <w:rsid w:val="45A94AD9"/>
    <w:rsid w:val="45C21DFF"/>
    <w:rsid w:val="45E752CC"/>
    <w:rsid w:val="463333B8"/>
    <w:rsid w:val="4640040B"/>
    <w:rsid w:val="464570C7"/>
    <w:rsid w:val="46600BDF"/>
    <w:rsid w:val="467D2532"/>
    <w:rsid w:val="46B11A88"/>
    <w:rsid w:val="46E531DB"/>
    <w:rsid w:val="46EE736E"/>
    <w:rsid w:val="47002E56"/>
    <w:rsid w:val="47095F71"/>
    <w:rsid w:val="47346DC3"/>
    <w:rsid w:val="47E02BBF"/>
    <w:rsid w:val="47F00216"/>
    <w:rsid w:val="481C455D"/>
    <w:rsid w:val="482D4D99"/>
    <w:rsid w:val="483C1C86"/>
    <w:rsid w:val="488B7F75"/>
    <w:rsid w:val="48970623"/>
    <w:rsid w:val="48A45913"/>
    <w:rsid w:val="48AC04F5"/>
    <w:rsid w:val="48AF5E63"/>
    <w:rsid w:val="48B443D9"/>
    <w:rsid w:val="48B63F7C"/>
    <w:rsid w:val="48CA6933"/>
    <w:rsid w:val="48D86E8E"/>
    <w:rsid w:val="490D7322"/>
    <w:rsid w:val="492B09BA"/>
    <w:rsid w:val="4998062F"/>
    <w:rsid w:val="49993A96"/>
    <w:rsid w:val="49C63C6B"/>
    <w:rsid w:val="49D162C2"/>
    <w:rsid w:val="4A1D73F6"/>
    <w:rsid w:val="4A2B6D8C"/>
    <w:rsid w:val="4A6D602B"/>
    <w:rsid w:val="4A902D0E"/>
    <w:rsid w:val="4A9D51A9"/>
    <w:rsid w:val="4ABC3BAC"/>
    <w:rsid w:val="4B54494E"/>
    <w:rsid w:val="4B6634FE"/>
    <w:rsid w:val="4B803B54"/>
    <w:rsid w:val="4B8F3B84"/>
    <w:rsid w:val="4BA402A6"/>
    <w:rsid w:val="4BA42A63"/>
    <w:rsid w:val="4BAC56B3"/>
    <w:rsid w:val="4BAD50F1"/>
    <w:rsid w:val="4BB576A2"/>
    <w:rsid w:val="4BFD1557"/>
    <w:rsid w:val="4BFD59DB"/>
    <w:rsid w:val="4C3B4DD4"/>
    <w:rsid w:val="4C572FE1"/>
    <w:rsid w:val="4C962698"/>
    <w:rsid w:val="4CA45C4B"/>
    <w:rsid w:val="4CC528E0"/>
    <w:rsid w:val="4CC577B8"/>
    <w:rsid w:val="4D24216F"/>
    <w:rsid w:val="4D301632"/>
    <w:rsid w:val="4D354009"/>
    <w:rsid w:val="4D5D2DCA"/>
    <w:rsid w:val="4D9A4EDE"/>
    <w:rsid w:val="4D9D65E6"/>
    <w:rsid w:val="4E0E68A2"/>
    <w:rsid w:val="4E4C2783"/>
    <w:rsid w:val="4E7977D4"/>
    <w:rsid w:val="4E7F2DD9"/>
    <w:rsid w:val="4EB40947"/>
    <w:rsid w:val="4EBD3D3C"/>
    <w:rsid w:val="4EFF42E1"/>
    <w:rsid w:val="4F23798B"/>
    <w:rsid w:val="4F2471A4"/>
    <w:rsid w:val="4F5736A1"/>
    <w:rsid w:val="4F740E53"/>
    <w:rsid w:val="4FB251FC"/>
    <w:rsid w:val="4FE66A0A"/>
    <w:rsid w:val="50185953"/>
    <w:rsid w:val="502B6EFE"/>
    <w:rsid w:val="50623D46"/>
    <w:rsid w:val="508963F2"/>
    <w:rsid w:val="509775BA"/>
    <w:rsid w:val="50C6128B"/>
    <w:rsid w:val="50ED2879"/>
    <w:rsid w:val="50FA2CEF"/>
    <w:rsid w:val="516F4591"/>
    <w:rsid w:val="52013E99"/>
    <w:rsid w:val="520619A9"/>
    <w:rsid w:val="52381ABE"/>
    <w:rsid w:val="5249113E"/>
    <w:rsid w:val="526D4C04"/>
    <w:rsid w:val="5271241E"/>
    <w:rsid w:val="5278529A"/>
    <w:rsid w:val="52D073AB"/>
    <w:rsid w:val="53143597"/>
    <w:rsid w:val="537C3385"/>
    <w:rsid w:val="53A56DA5"/>
    <w:rsid w:val="53E804B6"/>
    <w:rsid w:val="53FD045B"/>
    <w:rsid w:val="545404EA"/>
    <w:rsid w:val="5473417C"/>
    <w:rsid w:val="54B56BE5"/>
    <w:rsid w:val="54B61E08"/>
    <w:rsid w:val="54BB76A0"/>
    <w:rsid w:val="54E45DC1"/>
    <w:rsid w:val="54E970E9"/>
    <w:rsid w:val="552A3396"/>
    <w:rsid w:val="553305D4"/>
    <w:rsid w:val="556E782A"/>
    <w:rsid w:val="55A167FB"/>
    <w:rsid w:val="55A74222"/>
    <w:rsid w:val="55AD4436"/>
    <w:rsid w:val="55CC5A72"/>
    <w:rsid w:val="55D361A9"/>
    <w:rsid w:val="55D52260"/>
    <w:rsid w:val="55E95144"/>
    <w:rsid w:val="55FE4001"/>
    <w:rsid w:val="560D4785"/>
    <w:rsid w:val="56627835"/>
    <w:rsid w:val="566A2753"/>
    <w:rsid w:val="56A81836"/>
    <w:rsid w:val="56F82E79"/>
    <w:rsid w:val="57003C73"/>
    <w:rsid w:val="5738316D"/>
    <w:rsid w:val="57702001"/>
    <w:rsid w:val="57751FFC"/>
    <w:rsid w:val="578130E3"/>
    <w:rsid w:val="57846832"/>
    <w:rsid w:val="58047A99"/>
    <w:rsid w:val="58085724"/>
    <w:rsid w:val="58425C8C"/>
    <w:rsid w:val="58DF56DB"/>
    <w:rsid w:val="590E1D04"/>
    <w:rsid w:val="59591DE9"/>
    <w:rsid w:val="59B94F54"/>
    <w:rsid w:val="59EC2C8C"/>
    <w:rsid w:val="5A376F91"/>
    <w:rsid w:val="5A493823"/>
    <w:rsid w:val="5A4E03B9"/>
    <w:rsid w:val="5A9E7E63"/>
    <w:rsid w:val="5AF9704F"/>
    <w:rsid w:val="5B67095D"/>
    <w:rsid w:val="5B9B50D2"/>
    <w:rsid w:val="5BBB2A42"/>
    <w:rsid w:val="5BF90344"/>
    <w:rsid w:val="5BFF6BCA"/>
    <w:rsid w:val="5C024D93"/>
    <w:rsid w:val="5C3979DB"/>
    <w:rsid w:val="5C4A34F9"/>
    <w:rsid w:val="5C57677B"/>
    <w:rsid w:val="5C593469"/>
    <w:rsid w:val="5CCA14C8"/>
    <w:rsid w:val="5CDC2A68"/>
    <w:rsid w:val="5D1556A6"/>
    <w:rsid w:val="5D160773"/>
    <w:rsid w:val="5D1975F2"/>
    <w:rsid w:val="5DFB4036"/>
    <w:rsid w:val="5EB35A93"/>
    <w:rsid w:val="5EB840BB"/>
    <w:rsid w:val="5EC948E6"/>
    <w:rsid w:val="5ED37087"/>
    <w:rsid w:val="5EE972C4"/>
    <w:rsid w:val="5F5E1B86"/>
    <w:rsid w:val="5FAD7C88"/>
    <w:rsid w:val="5FEB7DE0"/>
    <w:rsid w:val="60626D1E"/>
    <w:rsid w:val="609414AB"/>
    <w:rsid w:val="60AC7DBB"/>
    <w:rsid w:val="60B81ABE"/>
    <w:rsid w:val="60D11363"/>
    <w:rsid w:val="60E01508"/>
    <w:rsid w:val="60FB7FA9"/>
    <w:rsid w:val="610033F5"/>
    <w:rsid w:val="61214BB7"/>
    <w:rsid w:val="6124675F"/>
    <w:rsid w:val="6136238C"/>
    <w:rsid w:val="617E2ADD"/>
    <w:rsid w:val="619D55B4"/>
    <w:rsid w:val="61BA7579"/>
    <w:rsid w:val="6220498F"/>
    <w:rsid w:val="62420342"/>
    <w:rsid w:val="62762D19"/>
    <w:rsid w:val="62AB2836"/>
    <w:rsid w:val="62D430B2"/>
    <w:rsid w:val="62E104DC"/>
    <w:rsid w:val="62F7049D"/>
    <w:rsid w:val="62FC09F3"/>
    <w:rsid w:val="633F1744"/>
    <w:rsid w:val="63672302"/>
    <w:rsid w:val="63733966"/>
    <w:rsid w:val="63956573"/>
    <w:rsid w:val="63A8690E"/>
    <w:rsid w:val="63C96C0E"/>
    <w:rsid w:val="63E42EEF"/>
    <w:rsid w:val="642E1BD5"/>
    <w:rsid w:val="64303347"/>
    <w:rsid w:val="64637041"/>
    <w:rsid w:val="647765BE"/>
    <w:rsid w:val="64AE33AC"/>
    <w:rsid w:val="64D609C4"/>
    <w:rsid w:val="64DC6478"/>
    <w:rsid w:val="64F96C61"/>
    <w:rsid w:val="65280C0A"/>
    <w:rsid w:val="655F7C64"/>
    <w:rsid w:val="656C52F5"/>
    <w:rsid w:val="65741C3D"/>
    <w:rsid w:val="65A31BCC"/>
    <w:rsid w:val="65CD0811"/>
    <w:rsid w:val="65D6783F"/>
    <w:rsid w:val="65EE0605"/>
    <w:rsid w:val="66012BFD"/>
    <w:rsid w:val="66161B31"/>
    <w:rsid w:val="665C2DE4"/>
    <w:rsid w:val="667D5C7B"/>
    <w:rsid w:val="66817E7E"/>
    <w:rsid w:val="66841B40"/>
    <w:rsid w:val="66B83C92"/>
    <w:rsid w:val="66BC5FE0"/>
    <w:rsid w:val="66BE004A"/>
    <w:rsid w:val="66EE69CF"/>
    <w:rsid w:val="670966C6"/>
    <w:rsid w:val="670E6E96"/>
    <w:rsid w:val="67116291"/>
    <w:rsid w:val="671A3D37"/>
    <w:rsid w:val="677C7E2D"/>
    <w:rsid w:val="6793017D"/>
    <w:rsid w:val="67976B83"/>
    <w:rsid w:val="679D62AA"/>
    <w:rsid w:val="67BD1461"/>
    <w:rsid w:val="67C82FE6"/>
    <w:rsid w:val="67CB0F83"/>
    <w:rsid w:val="67E56BBA"/>
    <w:rsid w:val="68254813"/>
    <w:rsid w:val="682A3331"/>
    <w:rsid w:val="68724DA1"/>
    <w:rsid w:val="689D062F"/>
    <w:rsid w:val="68C62B27"/>
    <w:rsid w:val="690115CE"/>
    <w:rsid w:val="69056D5A"/>
    <w:rsid w:val="691C7E5D"/>
    <w:rsid w:val="693D75DD"/>
    <w:rsid w:val="696817B1"/>
    <w:rsid w:val="696B34DB"/>
    <w:rsid w:val="69760C8C"/>
    <w:rsid w:val="698C5681"/>
    <w:rsid w:val="699E0834"/>
    <w:rsid w:val="69B404A4"/>
    <w:rsid w:val="69D26266"/>
    <w:rsid w:val="6A002475"/>
    <w:rsid w:val="6A037AB7"/>
    <w:rsid w:val="6A0C1091"/>
    <w:rsid w:val="6A321D4B"/>
    <w:rsid w:val="6A3950E6"/>
    <w:rsid w:val="6A5F2462"/>
    <w:rsid w:val="6A615AD1"/>
    <w:rsid w:val="6A703DAE"/>
    <w:rsid w:val="6A8F3A1A"/>
    <w:rsid w:val="6A973C6D"/>
    <w:rsid w:val="6AA40F58"/>
    <w:rsid w:val="6B2B32D6"/>
    <w:rsid w:val="6B6E044D"/>
    <w:rsid w:val="6B7845E0"/>
    <w:rsid w:val="6B8A2C78"/>
    <w:rsid w:val="6BB14F14"/>
    <w:rsid w:val="6BBD369C"/>
    <w:rsid w:val="6BD745FA"/>
    <w:rsid w:val="6BEB20C8"/>
    <w:rsid w:val="6BFE4F13"/>
    <w:rsid w:val="6C1A0813"/>
    <w:rsid w:val="6C3618C2"/>
    <w:rsid w:val="6C4614AB"/>
    <w:rsid w:val="6C620943"/>
    <w:rsid w:val="6C6A70BA"/>
    <w:rsid w:val="6C737CFB"/>
    <w:rsid w:val="6CD679B0"/>
    <w:rsid w:val="6CF73CFB"/>
    <w:rsid w:val="6D6F361C"/>
    <w:rsid w:val="6DAF4C0B"/>
    <w:rsid w:val="6E005A16"/>
    <w:rsid w:val="6E1938AF"/>
    <w:rsid w:val="6E3E606D"/>
    <w:rsid w:val="6E5B0E2F"/>
    <w:rsid w:val="6E661CDF"/>
    <w:rsid w:val="6EBD622F"/>
    <w:rsid w:val="6ED3075F"/>
    <w:rsid w:val="6F4E162D"/>
    <w:rsid w:val="6F76453C"/>
    <w:rsid w:val="6F9074A2"/>
    <w:rsid w:val="6F92520C"/>
    <w:rsid w:val="6F9E4E89"/>
    <w:rsid w:val="6FB27226"/>
    <w:rsid w:val="6FEC122C"/>
    <w:rsid w:val="6FF80FF4"/>
    <w:rsid w:val="703A6DAC"/>
    <w:rsid w:val="707934FC"/>
    <w:rsid w:val="707B0D59"/>
    <w:rsid w:val="70DA0EB4"/>
    <w:rsid w:val="70FA0FAA"/>
    <w:rsid w:val="71087556"/>
    <w:rsid w:val="71303F5E"/>
    <w:rsid w:val="713E0DE6"/>
    <w:rsid w:val="71461038"/>
    <w:rsid w:val="715554DF"/>
    <w:rsid w:val="71575B54"/>
    <w:rsid w:val="71A32AFB"/>
    <w:rsid w:val="71A55281"/>
    <w:rsid w:val="71AE3282"/>
    <w:rsid w:val="71B616BC"/>
    <w:rsid w:val="71D2144C"/>
    <w:rsid w:val="71DD525F"/>
    <w:rsid w:val="71EB1F61"/>
    <w:rsid w:val="71EE76F7"/>
    <w:rsid w:val="72030E1E"/>
    <w:rsid w:val="7207211D"/>
    <w:rsid w:val="720802A1"/>
    <w:rsid w:val="72273C06"/>
    <w:rsid w:val="7248490E"/>
    <w:rsid w:val="72524FC6"/>
    <w:rsid w:val="72893BE1"/>
    <w:rsid w:val="72C8794C"/>
    <w:rsid w:val="73085C46"/>
    <w:rsid w:val="730E55D1"/>
    <w:rsid w:val="73220296"/>
    <w:rsid w:val="736C3CDC"/>
    <w:rsid w:val="73717204"/>
    <w:rsid w:val="73784015"/>
    <w:rsid w:val="737A5005"/>
    <w:rsid w:val="73851939"/>
    <w:rsid w:val="73E377D9"/>
    <w:rsid w:val="73F23645"/>
    <w:rsid w:val="73F768F8"/>
    <w:rsid w:val="73FD5068"/>
    <w:rsid w:val="74546E63"/>
    <w:rsid w:val="747D2DD6"/>
    <w:rsid w:val="749567A9"/>
    <w:rsid w:val="75003A12"/>
    <w:rsid w:val="75003A76"/>
    <w:rsid w:val="7507500C"/>
    <w:rsid w:val="750C5F2D"/>
    <w:rsid w:val="751B1E2E"/>
    <w:rsid w:val="752A35EE"/>
    <w:rsid w:val="75497A39"/>
    <w:rsid w:val="756259E9"/>
    <w:rsid w:val="75805C64"/>
    <w:rsid w:val="7596329E"/>
    <w:rsid w:val="760A3E31"/>
    <w:rsid w:val="76297DEC"/>
    <w:rsid w:val="76B851E4"/>
    <w:rsid w:val="76BA4795"/>
    <w:rsid w:val="76D404C2"/>
    <w:rsid w:val="76F459ED"/>
    <w:rsid w:val="770B4B5C"/>
    <w:rsid w:val="771D3E12"/>
    <w:rsid w:val="77253575"/>
    <w:rsid w:val="77F267B1"/>
    <w:rsid w:val="77FB5950"/>
    <w:rsid w:val="78317DED"/>
    <w:rsid w:val="784815C5"/>
    <w:rsid w:val="78585335"/>
    <w:rsid w:val="78661915"/>
    <w:rsid w:val="78826452"/>
    <w:rsid w:val="788C7DB2"/>
    <w:rsid w:val="78B139C4"/>
    <w:rsid w:val="78D44148"/>
    <w:rsid w:val="78E157FE"/>
    <w:rsid w:val="78EB298E"/>
    <w:rsid w:val="78FE3776"/>
    <w:rsid w:val="790E026F"/>
    <w:rsid w:val="793623BB"/>
    <w:rsid w:val="796251C9"/>
    <w:rsid w:val="7974738E"/>
    <w:rsid w:val="798E2D5D"/>
    <w:rsid w:val="79A05E1A"/>
    <w:rsid w:val="79B92107"/>
    <w:rsid w:val="79C6678F"/>
    <w:rsid w:val="79E7614E"/>
    <w:rsid w:val="7A074935"/>
    <w:rsid w:val="7A26334A"/>
    <w:rsid w:val="7A2D2109"/>
    <w:rsid w:val="7A311E86"/>
    <w:rsid w:val="7A442CB9"/>
    <w:rsid w:val="7A566959"/>
    <w:rsid w:val="7A5720C5"/>
    <w:rsid w:val="7A5A0ACB"/>
    <w:rsid w:val="7A5F3FED"/>
    <w:rsid w:val="7AA5358D"/>
    <w:rsid w:val="7AA74DCC"/>
    <w:rsid w:val="7AD77BBF"/>
    <w:rsid w:val="7ADD2C36"/>
    <w:rsid w:val="7B034503"/>
    <w:rsid w:val="7B147EFA"/>
    <w:rsid w:val="7B1F7DC3"/>
    <w:rsid w:val="7B2F1799"/>
    <w:rsid w:val="7BDA0B8C"/>
    <w:rsid w:val="7BEE0EE2"/>
    <w:rsid w:val="7BF4575F"/>
    <w:rsid w:val="7BF97273"/>
    <w:rsid w:val="7C2D6B58"/>
    <w:rsid w:val="7C404AF3"/>
    <w:rsid w:val="7C546622"/>
    <w:rsid w:val="7C7D7DD8"/>
    <w:rsid w:val="7C953F21"/>
    <w:rsid w:val="7C9968A5"/>
    <w:rsid w:val="7CBF5ECA"/>
    <w:rsid w:val="7CCC6D3E"/>
    <w:rsid w:val="7CED5815"/>
    <w:rsid w:val="7CFD1F4F"/>
    <w:rsid w:val="7D4377D7"/>
    <w:rsid w:val="7D7541E1"/>
    <w:rsid w:val="7DA527B2"/>
    <w:rsid w:val="7DC14691"/>
    <w:rsid w:val="7DC508DC"/>
    <w:rsid w:val="7DFE66C3"/>
    <w:rsid w:val="7E4E1E61"/>
    <w:rsid w:val="7E716025"/>
    <w:rsid w:val="7E726022"/>
    <w:rsid w:val="7E7D1E20"/>
    <w:rsid w:val="7E84439E"/>
    <w:rsid w:val="7EB9441F"/>
    <w:rsid w:val="7EC21B5C"/>
    <w:rsid w:val="7ED46CB7"/>
    <w:rsid w:val="7F687E94"/>
    <w:rsid w:val="7FA77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44"/>
    <w:qFormat/>
    <w:uiPriority w:val="0"/>
    <w:pPr>
      <w:keepNext/>
      <w:keepLines/>
      <w:spacing w:before="340" w:after="330" w:line="578" w:lineRule="auto"/>
      <w:outlineLvl w:val="0"/>
    </w:pPr>
    <w:rPr>
      <w:b/>
      <w:bCs/>
      <w:kern w:val="44"/>
      <w:sz w:val="44"/>
      <w:szCs w:val="44"/>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3">
    <w:name w:val="index 8"/>
    <w:basedOn w:val="1"/>
    <w:next w:val="1"/>
    <w:qFormat/>
    <w:uiPriority w:val="0"/>
    <w:pPr>
      <w:ind w:left="1680" w:hanging="210"/>
      <w:jc w:val="left"/>
    </w:pPr>
    <w:rPr>
      <w:rFonts w:ascii="Calibri" w:hAnsi="Calibri"/>
      <w:sz w:val="20"/>
      <w:szCs w:val="20"/>
    </w:rPr>
  </w:style>
  <w:style w:type="paragraph" w:styleId="4">
    <w:name w:val="caption"/>
    <w:basedOn w:val="1"/>
    <w:next w:val="1"/>
    <w:qFormat/>
    <w:uiPriority w:val="0"/>
    <w:pPr>
      <w:spacing w:before="152" w:after="160"/>
    </w:pPr>
    <w:rPr>
      <w:rFonts w:ascii="Arial" w:hAnsi="Arial" w:eastAsia="黑体" w:cs="Arial"/>
      <w:sz w:val="20"/>
      <w:szCs w:val="20"/>
    </w:rPr>
  </w:style>
  <w:style w:type="paragraph" w:styleId="5">
    <w:name w:val="index 5"/>
    <w:basedOn w:val="1"/>
    <w:next w:val="1"/>
    <w:qFormat/>
    <w:uiPriority w:val="0"/>
    <w:pPr>
      <w:ind w:left="1050" w:hanging="210"/>
      <w:jc w:val="left"/>
    </w:pPr>
    <w:rPr>
      <w:rFonts w:ascii="Calibri" w:hAnsi="Calibri"/>
      <w:sz w:val="20"/>
      <w:szCs w:val="20"/>
    </w:rPr>
  </w:style>
  <w:style w:type="paragraph" w:styleId="6">
    <w:name w:val="Document Map"/>
    <w:basedOn w:val="1"/>
    <w:semiHidden/>
    <w:qFormat/>
    <w:uiPriority w:val="0"/>
    <w:pPr>
      <w:shd w:val="clear" w:color="auto" w:fill="000080"/>
    </w:pPr>
  </w:style>
  <w:style w:type="paragraph" w:styleId="7">
    <w:name w:val="annotation text"/>
    <w:basedOn w:val="1"/>
    <w:link w:val="142"/>
    <w:qFormat/>
    <w:uiPriority w:val="0"/>
    <w:pPr>
      <w:jc w:val="left"/>
    </w:pPr>
  </w:style>
  <w:style w:type="paragraph" w:styleId="8">
    <w:name w:val="index 6"/>
    <w:basedOn w:val="1"/>
    <w:next w:val="1"/>
    <w:qFormat/>
    <w:uiPriority w:val="0"/>
    <w:pPr>
      <w:ind w:left="1260" w:hanging="210"/>
      <w:jc w:val="left"/>
    </w:pPr>
    <w:rPr>
      <w:rFonts w:ascii="Calibri" w:hAnsi="Calibri"/>
      <w:sz w:val="20"/>
      <w:szCs w:val="20"/>
    </w:rPr>
  </w:style>
  <w:style w:type="paragraph" w:styleId="9">
    <w:name w:val="index 4"/>
    <w:basedOn w:val="1"/>
    <w:next w:val="1"/>
    <w:qFormat/>
    <w:uiPriority w:val="0"/>
    <w:pPr>
      <w:ind w:left="840" w:hanging="210"/>
      <w:jc w:val="left"/>
    </w:pPr>
    <w:rPr>
      <w:rFonts w:ascii="Calibri" w:hAnsi="Calibri"/>
      <w:sz w:val="20"/>
      <w:szCs w:val="20"/>
    </w:rPr>
  </w:style>
  <w:style w:type="paragraph" w:styleId="10">
    <w:name w:val="toc 3"/>
    <w:basedOn w:val="1"/>
    <w:next w:val="1"/>
    <w:qFormat/>
    <w:uiPriority w:val="39"/>
    <w:pPr>
      <w:ind w:left="840" w:leftChars="400"/>
    </w:pPr>
  </w:style>
  <w:style w:type="paragraph" w:styleId="11">
    <w:name w:val="index 3"/>
    <w:basedOn w:val="1"/>
    <w:next w:val="1"/>
    <w:qFormat/>
    <w:uiPriority w:val="0"/>
    <w:pPr>
      <w:ind w:left="630" w:hanging="210"/>
      <w:jc w:val="left"/>
    </w:pPr>
    <w:rPr>
      <w:rFonts w:ascii="Calibri" w:hAnsi="Calibri"/>
      <w:sz w:val="20"/>
      <w:szCs w:val="20"/>
    </w:rPr>
  </w:style>
  <w:style w:type="paragraph" w:styleId="12">
    <w:name w:val="endnote text"/>
    <w:basedOn w:val="1"/>
    <w:semiHidden/>
    <w:qFormat/>
    <w:uiPriority w:val="0"/>
    <w:pPr>
      <w:snapToGrid w:val="0"/>
      <w:jc w:val="left"/>
    </w:pPr>
  </w:style>
  <w:style w:type="paragraph" w:styleId="13">
    <w:name w:val="Balloon Text"/>
    <w:basedOn w:val="1"/>
    <w:link w:val="141"/>
    <w:qFormat/>
    <w:uiPriority w:val="0"/>
    <w:rPr>
      <w:sz w:val="18"/>
      <w:szCs w:val="18"/>
    </w:rPr>
  </w:style>
  <w:style w:type="paragraph" w:styleId="14">
    <w:name w:val="footer"/>
    <w:basedOn w:val="1"/>
    <w:qFormat/>
    <w:uiPriority w:val="0"/>
    <w:pPr>
      <w:snapToGrid w:val="0"/>
      <w:ind w:right="210" w:rightChars="100"/>
      <w:jc w:val="right"/>
    </w:pPr>
    <w:rPr>
      <w:sz w:val="18"/>
      <w:szCs w:val="18"/>
    </w:rPr>
  </w:style>
  <w:style w:type="paragraph" w:styleId="15">
    <w:name w:val="header"/>
    <w:basedOn w:val="1"/>
    <w:qFormat/>
    <w:uiPriority w:val="0"/>
    <w:pPr>
      <w:snapToGrid w:val="0"/>
      <w:jc w:val="left"/>
    </w:pPr>
    <w:rPr>
      <w:sz w:val="18"/>
      <w:szCs w:val="18"/>
    </w:rPr>
  </w:style>
  <w:style w:type="paragraph" w:styleId="16">
    <w:name w:val="toc 1"/>
    <w:basedOn w:val="1"/>
    <w:next w:val="1"/>
    <w:qFormat/>
    <w:uiPriority w:val="39"/>
    <w:pPr>
      <w:tabs>
        <w:tab w:val="right" w:leader="dot" w:pos="9240"/>
        <w:tab w:val="right" w:leader="dot" w:pos="9345"/>
      </w:tabs>
      <w:spacing w:before="78" w:beforeLines="25" w:after="78" w:afterLines="25"/>
    </w:pPr>
  </w:style>
  <w:style w:type="paragraph" w:styleId="17">
    <w:name w:val="index heading"/>
    <w:basedOn w:val="1"/>
    <w:next w:val="18"/>
    <w:qFormat/>
    <w:uiPriority w:val="0"/>
    <w:pPr>
      <w:spacing w:before="120" w:after="120"/>
      <w:jc w:val="center"/>
    </w:pPr>
    <w:rPr>
      <w:rFonts w:ascii="Calibri" w:hAnsi="Calibri"/>
      <w:b/>
      <w:bCs/>
      <w:iCs/>
      <w:szCs w:val="20"/>
    </w:rPr>
  </w:style>
  <w:style w:type="paragraph" w:styleId="18">
    <w:name w:val="index 1"/>
    <w:basedOn w:val="1"/>
    <w:next w:val="19"/>
    <w:qFormat/>
    <w:uiPriority w:val="0"/>
    <w:pPr>
      <w:tabs>
        <w:tab w:val="right" w:leader="dot" w:pos="9299"/>
      </w:tabs>
      <w:jc w:val="left"/>
    </w:pPr>
    <w:rPr>
      <w:rFonts w:ascii="宋体"/>
      <w:szCs w:val="21"/>
    </w:rPr>
  </w:style>
  <w:style w:type="paragraph" w:customStyle="1" w:styleId="19">
    <w:name w:val="段"/>
    <w:link w:val="3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0">
    <w:name w:val="footnote text"/>
    <w:basedOn w:val="1"/>
    <w:qFormat/>
    <w:uiPriority w:val="0"/>
    <w:pPr>
      <w:numPr>
        <w:ilvl w:val="0"/>
        <w:numId w:val="1"/>
      </w:numPr>
      <w:snapToGrid w:val="0"/>
      <w:jc w:val="left"/>
    </w:pPr>
    <w:rPr>
      <w:rFonts w:ascii="宋体"/>
      <w:sz w:val="18"/>
      <w:szCs w:val="18"/>
    </w:rPr>
  </w:style>
  <w:style w:type="paragraph" w:styleId="21">
    <w:name w:val="index 7"/>
    <w:basedOn w:val="1"/>
    <w:next w:val="1"/>
    <w:qFormat/>
    <w:uiPriority w:val="0"/>
    <w:pPr>
      <w:ind w:left="1470" w:hanging="210"/>
      <w:jc w:val="left"/>
    </w:pPr>
    <w:rPr>
      <w:rFonts w:ascii="Calibri" w:hAnsi="Calibri"/>
      <w:sz w:val="20"/>
      <w:szCs w:val="20"/>
    </w:rPr>
  </w:style>
  <w:style w:type="paragraph" w:styleId="22">
    <w:name w:val="index 9"/>
    <w:basedOn w:val="1"/>
    <w:next w:val="1"/>
    <w:qFormat/>
    <w:uiPriority w:val="0"/>
    <w:pPr>
      <w:ind w:left="1890" w:hanging="210"/>
      <w:jc w:val="left"/>
    </w:pPr>
    <w:rPr>
      <w:rFonts w:ascii="Calibri" w:hAnsi="Calibri"/>
      <w:sz w:val="20"/>
      <w:szCs w:val="20"/>
    </w:rPr>
  </w:style>
  <w:style w:type="paragraph" w:styleId="23">
    <w:name w:val="toc 2"/>
    <w:basedOn w:val="1"/>
    <w:next w:val="1"/>
    <w:qFormat/>
    <w:uiPriority w:val="39"/>
    <w:pPr>
      <w:ind w:left="420" w:leftChars="200"/>
    </w:pPr>
  </w:style>
  <w:style w:type="paragraph" w:styleId="24">
    <w:name w:val="index 2"/>
    <w:basedOn w:val="1"/>
    <w:next w:val="1"/>
    <w:qFormat/>
    <w:uiPriority w:val="0"/>
    <w:pPr>
      <w:ind w:left="420" w:hanging="210"/>
      <w:jc w:val="left"/>
    </w:pPr>
    <w:rPr>
      <w:rFonts w:ascii="Calibri" w:hAnsi="Calibri"/>
      <w:sz w:val="20"/>
      <w:szCs w:val="20"/>
    </w:rPr>
  </w:style>
  <w:style w:type="paragraph" w:styleId="25">
    <w:name w:val="annotation subject"/>
    <w:basedOn w:val="7"/>
    <w:next w:val="7"/>
    <w:link w:val="143"/>
    <w:qFormat/>
    <w:uiPriority w:val="0"/>
    <w:rPr>
      <w:b/>
      <w:bCs/>
    </w:rPr>
  </w:style>
  <w:style w:type="table" w:styleId="27">
    <w:name w:val="Table Grid"/>
    <w:basedOn w:val="26"/>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9">
    <w:name w:val="endnote reference"/>
    <w:semiHidden/>
    <w:qFormat/>
    <w:uiPriority w:val="0"/>
    <w:rPr>
      <w:vertAlign w:val="superscript"/>
    </w:rPr>
  </w:style>
  <w:style w:type="character" w:styleId="30">
    <w:name w:val="page number"/>
    <w:qFormat/>
    <w:uiPriority w:val="0"/>
    <w:rPr>
      <w:rFonts w:ascii="Times New Roman" w:hAnsi="Times New Roman" w:eastAsia="宋体"/>
      <w:sz w:val="18"/>
    </w:rPr>
  </w:style>
  <w:style w:type="character" w:styleId="31">
    <w:name w:val="Hyperlink"/>
    <w:qFormat/>
    <w:uiPriority w:val="99"/>
    <w:rPr>
      <w:color w:val="0000FF"/>
      <w:spacing w:val="0"/>
      <w:w w:val="100"/>
      <w:szCs w:val="21"/>
      <w:u w:val="single"/>
    </w:rPr>
  </w:style>
  <w:style w:type="character" w:styleId="32">
    <w:name w:val="annotation reference"/>
    <w:basedOn w:val="28"/>
    <w:qFormat/>
    <w:uiPriority w:val="0"/>
    <w:rPr>
      <w:sz w:val="21"/>
      <w:szCs w:val="21"/>
    </w:rPr>
  </w:style>
  <w:style w:type="character" w:styleId="33">
    <w:name w:val="footnote reference"/>
    <w:semiHidden/>
    <w:qFormat/>
    <w:uiPriority w:val="0"/>
    <w:rPr>
      <w:vertAlign w:val="superscript"/>
    </w:rPr>
  </w:style>
  <w:style w:type="character" w:customStyle="1" w:styleId="34">
    <w:name w:val="段 Char"/>
    <w:link w:val="19"/>
    <w:qFormat/>
    <w:uiPriority w:val="0"/>
    <w:rPr>
      <w:rFonts w:ascii="宋体"/>
      <w:sz w:val="21"/>
      <w:lang w:val="en-US" w:eastAsia="zh-CN" w:bidi="ar-SA"/>
    </w:rPr>
  </w:style>
  <w:style w:type="paragraph" w:customStyle="1" w:styleId="35">
    <w:name w:val="一级条标题"/>
    <w:next w:val="19"/>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36">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37">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38">
    <w:name w:val="章标题"/>
    <w:next w:val="19"/>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39">
    <w:name w:val="二级条标题"/>
    <w:basedOn w:val="35"/>
    <w:next w:val="19"/>
    <w:qFormat/>
    <w:uiPriority w:val="0"/>
    <w:pPr>
      <w:numPr>
        <w:ilvl w:val="2"/>
      </w:numPr>
      <w:spacing w:before="50" w:after="50"/>
      <w:outlineLvl w:val="3"/>
    </w:pPr>
  </w:style>
  <w:style w:type="paragraph" w:customStyle="1" w:styleId="40">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41">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42">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43">
    <w:name w:val="目次、标准名称标题"/>
    <w:basedOn w:val="1"/>
    <w:next w:val="19"/>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44">
    <w:name w:val="三级条标题"/>
    <w:basedOn w:val="39"/>
    <w:next w:val="19"/>
    <w:qFormat/>
    <w:uiPriority w:val="0"/>
    <w:pPr>
      <w:numPr>
        <w:ilvl w:val="3"/>
      </w:numPr>
      <w:outlineLvl w:val="4"/>
    </w:pPr>
  </w:style>
  <w:style w:type="paragraph" w:customStyle="1" w:styleId="45">
    <w:name w:val="示例"/>
    <w:next w:val="46"/>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46">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47">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48">
    <w:name w:val="四级条标题"/>
    <w:basedOn w:val="44"/>
    <w:next w:val="19"/>
    <w:qFormat/>
    <w:uiPriority w:val="0"/>
    <w:pPr>
      <w:numPr>
        <w:ilvl w:val="4"/>
      </w:numPr>
      <w:outlineLvl w:val="5"/>
    </w:pPr>
  </w:style>
  <w:style w:type="paragraph" w:customStyle="1" w:styleId="49">
    <w:name w:val="五级条标题"/>
    <w:basedOn w:val="48"/>
    <w:next w:val="19"/>
    <w:qFormat/>
    <w:uiPriority w:val="0"/>
    <w:pPr>
      <w:numPr>
        <w:ilvl w:val="5"/>
      </w:numPr>
      <w:outlineLvl w:val="6"/>
    </w:pPr>
  </w:style>
  <w:style w:type="paragraph" w:customStyle="1" w:styleId="50">
    <w:name w:val="注："/>
    <w:next w:val="19"/>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51">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52">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53">
    <w:name w:val="列项◆（三级）"/>
    <w:basedOn w:val="1"/>
    <w:qFormat/>
    <w:uiPriority w:val="0"/>
    <w:pPr>
      <w:numPr>
        <w:ilvl w:val="2"/>
        <w:numId w:val="3"/>
      </w:numPr>
    </w:pPr>
    <w:rPr>
      <w:rFonts w:ascii="宋体"/>
      <w:szCs w:val="21"/>
    </w:rPr>
  </w:style>
  <w:style w:type="paragraph" w:customStyle="1" w:styleId="54">
    <w:name w:val="编号列项（三级）"/>
    <w:qFormat/>
    <w:uiPriority w:val="0"/>
    <w:pPr>
      <w:numPr>
        <w:ilvl w:val="2"/>
        <w:numId w:val="5"/>
      </w:numPr>
    </w:pPr>
    <w:rPr>
      <w:rFonts w:ascii="宋体" w:hAnsi="Times New Roman" w:eastAsia="宋体" w:cs="Times New Roman"/>
      <w:sz w:val="21"/>
      <w:lang w:val="en-US" w:eastAsia="zh-CN" w:bidi="ar-SA"/>
    </w:rPr>
  </w:style>
  <w:style w:type="paragraph" w:customStyle="1" w:styleId="55">
    <w:name w:val="示例×："/>
    <w:basedOn w:val="38"/>
    <w:qFormat/>
    <w:uiPriority w:val="0"/>
    <w:pPr>
      <w:numPr>
        <w:numId w:val="8"/>
      </w:numPr>
      <w:spacing w:before="0" w:beforeLines="0" w:after="0" w:afterLines="0"/>
      <w:outlineLvl w:val="9"/>
    </w:pPr>
    <w:rPr>
      <w:rFonts w:ascii="宋体" w:eastAsia="宋体"/>
      <w:sz w:val="18"/>
      <w:szCs w:val="18"/>
    </w:rPr>
  </w:style>
  <w:style w:type="paragraph" w:customStyle="1" w:styleId="56">
    <w:name w:val="二级无"/>
    <w:basedOn w:val="39"/>
    <w:qFormat/>
    <w:uiPriority w:val="0"/>
    <w:pPr>
      <w:spacing w:before="0" w:beforeLines="0" w:after="0" w:afterLines="0"/>
    </w:pPr>
    <w:rPr>
      <w:rFonts w:ascii="宋体" w:eastAsia="宋体"/>
    </w:rPr>
  </w:style>
  <w:style w:type="paragraph" w:customStyle="1" w:styleId="57">
    <w:name w:val="注：（正文）"/>
    <w:basedOn w:val="50"/>
    <w:next w:val="19"/>
    <w:qFormat/>
    <w:uiPriority w:val="0"/>
  </w:style>
  <w:style w:type="paragraph" w:customStyle="1" w:styleId="58">
    <w:name w:val="注×：（正文）"/>
    <w:qFormat/>
    <w:uiPriority w:val="0"/>
    <w:pPr>
      <w:numPr>
        <w:ilvl w:val="0"/>
        <w:numId w:val="9"/>
      </w:numPr>
      <w:jc w:val="both"/>
    </w:pPr>
    <w:rPr>
      <w:rFonts w:ascii="宋体" w:hAnsi="Times New Roman" w:eastAsia="宋体" w:cs="Times New Roman"/>
      <w:sz w:val="18"/>
      <w:szCs w:val="18"/>
      <w:lang w:val="en-US" w:eastAsia="zh-CN" w:bidi="ar-SA"/>
    </w:rPr>
  </w:style>
  <w:style w:type="paragraph" w:customStyle="1" w:styleId="59">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60">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61">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62">
    <w:name w:val="标准书眉_偶数页"/>
    <w:basedOn w:val="37"/>
    <w:next w:val="1"/>
    <w:qFormat/>
    <w:uiPriority w:val="0"/>
    <w:pPr>
      <w:jc w:val="left"/>
    </w:pPr>
  </w:style>
  <w:style w:type="paragraph" w:customStyle="1" w:styleId="63">
    <w:name w:val="标准书眉一"/>
    <w:qFormat/>
    <w:uiPriority w:val="0"/>
    <w:pPr>
      <w:jc w:val="both"/>
    </w:pPr>
    <w:rPr>
      <w:rFonts w:ascii="Times New Roman" w:hAnsi="Times New Roman" w:eastAsia="宋体" w:cs="Times New Roman"/>
      <w:lang w:val="en-US" w:eastAsia="zh-CN" w:bidi="ar-SA"/>
    </w:rPr>
  </w:style>
  <w:style w:type="paragraph" w:customStyle="1" w:styleId="64">
    <w:name w:val="参考文献"/>
    <w:basedOn w:val="1"/>
    <w:next w:val="19"/>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65">
    <w:name w:val="参考文献、索引标题"/>
    <w:basedOn w:val="1"/>
    <w:next w:val="19"/>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66">
    <w:name w:val="发布"/>
    <w:qFormat/>
    <w:uiPriority w:val="0"/>
    <w:rPr>
      <w:rFonts w:ascii="黑体" w:eastAsia="黑体"/>
      <w:spacing w:val="85"/>
      <w:w w:val="100"/>
      <w:position w:val="3"/>
      <w:sz w:val="28"/>
      <w:szCs w:val="28"/>
    </w:rPr>
  </w:style>
  <w:style w:type="paragraph" w:customStyle="1" w:styleId="67">
    <w:name w:val="发布部门"/>
    <w:next w:val="19"/>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68">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69">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0">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71">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2">
    <w:name w:val="封面标准英文名称"/>
    <w:basedOn w:val="71"/>
    <w:qFormat/>
    <w:uiPriority w:val="0"/>
    <w:pPr>
      <w:framePr w:wrap="around"/>
      <w:spacing w:before="370" w:line="400" w:lineRule="exact"/>
    </w:pPr>
    <w:rPr>
      <w:rFonts w:ascii="Times New Roman"/>
      <w:sz w:val="28"/>
      <w:szCs w:val="28"/>
    </w:rPr>
  </w:style>
  <w:style w:type="paragraph" w:customStyle="1" w:styleId="73">
    <w:name w:val="封面一致性程度标识"/>
    <w:basedOn w:val="72"/>
    <w:qFormat/>
    <w:uiPriority w:val="0"/>
    <w:pPr>
      <w:framePr w:wrap="around"/>
      <w:spacing w:before="440"/>
    </w:pPr>
    <w:rPr>
      <w:rFonts w:ascii="宋体" w:eastAsia="宋体"/>
    </w:rPr>
  </w:style>
  <w:style w:type="paragraph" w:customStyle="1" w:styleId="74">
    <w:name w:val="封面标准文稿类别"/>
    <w:basedOn w:val="73"/>
    <w:qFormat/>
    <w:uiPriority w:val="0"/>
    <w:pPr>
      <w:framePr w:wrap="around"/>
      <w:spacing w:after="160" w:line="240" w:lineRule="auto"/>
    </w:pPr>
    <w:rPr>
      <w:sz w:val="24"/>
    </w:rPr>
  </w:style>
  <w:style w:type="paragraph" w:customStyle="1" w:styleId="75">
    <w:name w:val="封面标准文稿编辑信息"/>
    <w:basedOn w:val="74"/>
    <w:qFormat/>
    <w:uiPriority w:val="0"/>
    <w:pPr>
      <w:framePr w:wrap="around"/>
      <w:spacing w:before="180" w:line="180" w:lineRule="exact"/>
    </w:pPr>
    <w:rPr>
      <w:sz w:val="21"/>
    </w:rPr>
  </w:style>
  <w:style w:type="paragraph" w:customStyle="1" w:styleId="76">
    <w:name w:val="封面正文"/>
    <w:qFormat/>
    <w:uiPriority w:val="0"/>
    <w:pPr>
      <w:jc w:val="both"/>
    </w:pPr>
    <w:rPr>
      <w:rFonts w:ascii="Times New Roman" w:hAnsi="Times New Roman" w:eastAsia="宋体" w:cs="Times New Roman"/>
      <w:lang w:val="en-US" w:eastAsia="zh-CN" w:bidi="ar-SA"/>
    </w:rPr>
  </w:style>
  <w:style w:type="paragraph" w:customStyle="1" w:styleId="77">
    <w:name w:val="附录标识"/>
    <w:basedOn w:val="1"/>
    <w:next w:val="19"/>
    <w:qFormat/>
    <w:uiPriority w:val="0"/>
    <w:pPr>
      <w:keepNext/>
      <w:widowControl/>
      <w:numPr>
        <w:ilvl w:val="0"/>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78">
    <w:name w:val="附录标题"/>
    <w:basedOn w:val="19"/>
    <w:next w:val="19"/>
    <w:qFormat/>
    <w:uiPriority w:val="0"/>
    <w:pPr>
      <w:ind w:firstLine="0" w:firstLineChars="0"/>
      <w:jc w:val="center"/>
    </w:pPr>
    <w:rPr>
      <w:rFonts w:ascii="黑体" w:eastAsia="黑体"/>
    </w:rPr>
  </w:style>
  <w:style w:type="paragraph" w:customStyle="1" w:styleId="79">
    <w:name w:val="附录表标号"/>
    <w:basedOn w:val="1"/>
    <w:next w:val="19"/>
    <w:qFormat/>
    <w:uiPriority w:val="0"/>
    <w:pPr>
      <w:numPr>
        <w:ilvl w:val="0"/>
        <w:numId w:val="11"/>
      </w:numPr>
      <w:tabs>
        <w:tab w:val="clear" w:pos="0"/>
      </w:tabs>
      <w:spacing w:line="14" w:lineRule="exact"/>
      <w:ind w:left="811" w:hanging="448"/>
      <w:jc w:val="center"/>
      <w:outlineLvl w:val="0"/>
    </w:pPr>
    <w:rPr>
      <w:color w:val="FFFFFF"/>
    </w:rPr>
  </w:style>
  <w:style w:type="paragraph" w:customStyle="1" w:styleId="80">
    <w:name w:val="附录表标题"/>
    <w:basedOn w:val="1"/>
    <w:next w:val="19"/>
    <w:qFormat/>
    <w:uiPriority w:val="0"/>
    <w:pPr>
      <w:numPr>
        <w:ilvl w:val="1"/>
        <w:numId w:val="11"/>
      </w:numPr>
      <w:tabs>
        <w:tab w:val="left" w:pos="180"/>
      </w:tabs>
      <w:spacing w:before="50" w:beforeLines="50" w:after="50" w:afterLines="50"/>
      <w:ind w:left="0" w:firstLine="0"/>
      <w:jc w:val="center"/>
    </w:pPr>
    <w:rPr>
      <w:rFonts w:ascii="黑体" w:eastAsia="黑体"/>
      <w:szCs w:val="21"/>
    </w:rPr>
  </w:style>
  <w:style w:type="paragraph" w:customStyle="1" w:styleId="81">
    <w:name w:val="附录二级条标题"/>
    <w:basedOn w:val="1"/>
    <w:next w:val="19"/>
    <w:qFormat/>
    <w:uiPriority w:val="0"/>
    <w:pPr>
      <w:widowControl/>
      <w:numPr>
        <w:ilvl w:val="3"/>
        <w:numId w:val="10"/>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82">
    <w:name w:val="附录二级无"/>
    <w:basedOn w:val="81"/>
    <w:qFormat/>
    <w:uiPriority w:val="0"/>
    <w:pPr>
      <w:tabs>
        <w:tab w:val="clear" w:pos="360"/>
      </w:tabs>
      <w:spacing w:before="0" w:beforeLines="0" w:after="0" w:afterLines="0"/>
    </w:pPr>
    <w:rPr>
      <w:rFonts w:ascii="宋体" w:eastAsia="宋体"/>
      <w:szCs w:val="21"/>
    </w:rPr>
  </w:style>
  <w:style w:type="paragraph" w:customStyle="1" w:styleId="83">
    <w:name w:val="附录公式"/>
    <w:basedOn w:val="19"/>
    <w:next w:val="19"/>
    <w:link w:val="84"/>
    <w:qFormat/>
    <w:uiPriority w:val="0"/>
  </w:style>
  <w:style w:type="character" w:customStyle="1" w:styleId="84">
    <w:name w:val="附录公式 Char"/>
    <w:basedOn w:val="34"/>
    <w:link w:val="83"/>
    <w:qFormat/>
    <w:uiPriority w:val="0"/>
    <w:rPr>
      <w:rFonts w:ascii="宋体"/>
      <w:sz w:val="21"/>
      <w:lang w:val="en-US" w:eastAsia="zh-CN" w:bidi="ar-SA"/>
    </w:rPr>
  </w:style>
  <w:style w:type="paragraph" w:customStyle="1" w:styleId="85">
    <w:name w:val="附录公式编号制表符"/>
    <w:basedOn w:val="1"/>
    <w:next w:val="19"/>
    <w:qFormat/>
    <w:uiPriority w:val="0"/>
    <w:pPr>
      <w:widowControl/>
      <w:tabs>
        <w:tab w:val="center" w:pos="4201"/>
        <w:tab w:val="right" w:leader="dot" w:pos="9298"/>
      </w:tabs>
      <w:autoSpaceDE w:val="0"/>
      <w:autoSpaceDN w:val="0"/>
    </w:pPr>
    <w:rPr>
      <w:rFonts w:ascii="宋体"/>
      <w:kern w:val="0"/>
      <w:szCs w:val="20"/>
    </w:rPr>
  </w:style>
  <w:style w:type="paragraph" w:customStyle="1" w:styleId="86">
    <w:name w:val="附录三级条标题"/>
    <w:basedOn w:val="81"/>
    <w:next w:val="19"/>
    <w:qFormat/>
    <w:uiPriority w:val="0"/>
    <w:pPr>
      <w:numPr>
        <w:ilvl w:val="4"/>
      </w:numPr>
      <w:outlineLvl w:val="4"/>
    </w:pPr>
  </w:style>
  <w:style w:type="paragraph" w:customStyle="1" w:styleId="87">
    <w:name w:val="附录三级无"/>
    <w:basedOn w:val="86"/>
    <w:qFormat/>
    <w:uiPriority w:val="0"/>
    <w:pPr>
      <w:tabs>
        <w:tab w:val="clear" w:pos="360"/>
      </w:tabs>
      <w:spacing w:before="0" w:beforeLines="0" w:after="0" w:afterLines="0"/>
    </w:pPr>
    <w:rPr>
      <w:rFonts w:ascii="宋体" w:eastAsia="宋体"/>
      <w:szCs w:val="21"/>
    </w:rPr>
  </w:style>
  <w:style w:type="paragraph" w:customStyle="1" w:styleId="88">
    <w:name w:val="附录数字编号列项（二级）"/>
    <w:qFormat/>
    <w:uiPriority w:val="0"/>
    <w:pPr>
      <w:numPr>
        <w:ilvl w:val="1"/>
        <w:numId w:val="12"/>
      </w:numPr>
    </w:pPr>
    <w:rPr>
      <w:rFonts w:ascii="宋体" w:hAnsi="Times New Roman" w:eastAsia="宋体" w:cs="Times New Roman"/>
      <w:sz w:val="21"/>
      <w:lang w:val="en-US" w:eastAsia="zh-CN" w:bidi="ar-SA"/>
    </w:rPr>
  </w:style>
  <w:style w:type="paragraph" w:customStyle="1" w:styleId="89">
    <w:name w:val="附录四级条标题"/>
    <w:basedOn w:val="86"/>
    <w:next w:val="19"/>
    <w:qFormat/>
    <w:uiPriority w:val="0"/>
    <w:pPr>
      <w:numPr>
        <w:ilvl w:val="5"/>
      </w:numPr>
      <w:outlineLvl w:val="5"/>
    </w:pPr>
  </w:style>
  <w:style w:type="paragraph" w:customStyle="1" w:styleId="90">
    <w:name w:val="附录四级无"/>
    <w:basedOn w:val="89"/>
    <w:qFormat/>
    <w:uiPriority w:val="0"/>
    <w:pPr>
      <w:tabs>
        <w:tab w:val="clear" w:pos="360"/>
      </w:tabs>
      <w:spacing w:before="0" w:beforeLines="0" w:after="0" w:afterLines="0"/>
    </w:pPr>
    <w:rPr>
      <w:rFonts w:ascii="宋体" w:eastAsia="宋体"/>
      <w:szCs w:val="21"/>
    </w:rPr>
  </w:style>
  <w:style w:type="paragraph" w:customStyle="1" w:styleId="91">
    <w:name w:val="附录图标号"/>
    <w:basedOn w:val="1"/>
    <w:qFormat/>
    <w:uiPriority w:val="0"/>
    <w:pPr>
      <w:keepNext/>
      <w:pageBreakBefore/>
      <w:widowControl/>
      <w:numPr>
        <w:ilvl w:val="0"/>
        <w:numId w:val="13"/>
      </w:numPr>
      <w:spacing w:line="14" w:lineRule="exact"/>
      <w:ind w:left="0" w:firstLine="363"/>
      <w:jc w:val="center"/>
      <w:outlineLvl w:val="0"/>
    </w:pPr>
    <w:rPr>
      <w:color w:val="FFFFFF"/>
    </w:rPr>
  </w:style>
  <w:style w:type="paragraph" w:customStyle="1" w:styleId="92">
    <w:name w:val="附录图标题"/>
    <w:basedOn w:val="1"/>
    <w:next w:val="19"/>
    <w:qFormat/>
    <w:uiPriority w:val="0"/>
    <w:pPr>
      <w:numPr>
        <w:ilvl w:val="1"/>
        <w:numId w:val="13"/>
      </w:numPr>
      <w:tabs>
        <w:tab w:val="left" w:pos="363"/>
      </w:tabs>
      <w:spacing w:before="50" w:beforeLines="50" w:after="50" w:afterLines="50"/>
      <w:ind w:left="0" w:firstLine="0"/>
      <w:jc w:val="center"/>
    </w:pPr>
    <w:rPr>
      <w:rFonts w:ascii="黑体" w:eastAsia="黑体"/>
      <w:szCs w:val="21"/>
    </w:rPr>
  </w:style>
  <w:style w:type="paragraph" w:customStyle="1" w:styleId="93">
    <w:name w:val="附录五级条标题"/>
    <w:basedOn w:val="89"/>
    <w:next w:val="19"/>
    <w:qFormat/>
    <w:uiPriority w:val="0"/>
    <w:pPr>
      <w:numPr>
        <w:ilvl w:val="6"/>
      </w:numPr>
      <w:outlineLvl w:val="6"/>
    </w:pPr>
  </w:style>
  <w:style w:type="paragraph" w:customStyle="1" w:styleId="94">
    <w:name w:val="附录五级无"/>
    <w:basedOn w:val="93"/>
    <w:qFormat/>
    <w:uiPriority w:val="0"/>
    <w:pPr>
      <w:tabs>
        <w:tab w:val="clear" w:pos="360"/>
      </w:tabs>
      <w:spacing w:before="0" w:beforeLines="0" w:after="0" w:afterLines="0"/>
    </w:pPr>
    <w:rPr>
      <w:rFonts w:ascii="宋体" w:eastAsia="宋体"/>
      <w:szCs w:val="21"/>
    </w:rPr>
  </w:style>
  <w:style w:type="paragraph" w:customStyle="1" w:styleId="95">
    <w:name w:val="附录章标题"/>
    <w:next w:val="19"/>
    <w:qFormat/>
    <w:uiPriority w:val="0"/>
    <w:pPr>
      <w:numPr>
        <w:ilvl w:val="1"/>
        <w:numId w:val="10"/>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96">
    <w:name w:val="附录一级条标题"/>
    <w:basedOn w:val="95"/>
    <w:next w:val="19"/>
    <w:qFormat/>
    <w:uiPriority w:val="0"/>
    <w:pPr>
      <w:numPr>
        <w:ilvl w:val="2"/>
      </w:numPr>
      <w:autoSpaceDN w:val="0"/>
      <w:spacing w:before="50" w:beforeLines="50" w:after="50" w:afterLines="50"/>
      <w:outlineLvl w:val="2"/>
    </w:pPr>
  </w:style>
  <w:style w:type="paragraph" w:customStyle="1" w:styleId="97">
    <w:name w:val="附录一级无"/>
    <w:basedOn w:val="96"/>
    <w:qFormat/>
    <w:uiPriority w:val="0"/>
    <w:pPr>
      <w:tabs>
        <w:tab w:val="clear" w:pos="360"/>
      </w:tabs>
      <w:spacing w:before="0" w:beforeLines="0" w:after="0" w:afterLines="0"/>
    </w:pPr>
    <w:rPr>
      <w:rFonts w:ascii="宋体" w:eastAsia="宋体"/>
      <w:szCs w:val="21"/>
    </w:rPr>
  </w:style>
  <w:style w:type="paragraph" w:customStyle="1" w:styleId="98">
    <w:name w:val="附录字母编号列项（一级）"/>
    <w:qFormat/>
    <w:uiPriority w:val="0"/>
    <w:pPr>
      <w:numPr>
        <w:ilvl w:val="0"/>
        <w:numId w:val="12"/>
      </w:numPr>
    </w:pPr>
    <w:rPr>
      <w:rFonts w:ascii="宋体" w:hAnsi="Times New Roman" w:eastAsia="宋体" w:cs="Times New Roman"/>
      <w:sz w:val="21"/>
      <w:lang w:val="en-US" w:eastAsia="zh-CN" w:bidi="ar-SA"/>
    </w:rPr>
  </w:style>
  <w:style w:type="paragraph" w:customStyle="1" w:styleId="99">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0">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0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02">
    <w:name w:val="目录 31"/>
    <w:basedOn w:val="1"/>
    <w:next w:val="1"/>
    <w:semiHidden/>
    <w:qFormat/>
    <w:uiPriority w:val="0"/>
    <w:pPr>
      <w:tabs>
        <w:tab w:val="right" w:leader="dot" w:pos="9241"/>
      </w:tabs>
      <w:ind w:firstLine="102" w:firstLineChars="100"/>
      <w:jc w:val="left"/>
    </w:pPr>
    <w:rPr>
      <w:rFonts w:ascii="宋体"/>
      <w:szCs w:val="21"/>
    </w:rPr>
  </w:style>
  <w:style w:type="paragraph" w:customStyle="1" w:styleId="103">
    <w:name w:val="目录 41"/>
    <w:basedOn w:val="1"/>
    <w:next w:val="1"/>
    <w:semiHidden/>
    <w:qFormat/>
    <w:uiPriority w:val="0"/>
    <w:pPr>
      <w:tabs>
        <w:tab w:val="right" w:leader="dot" w:pos="9241"/>
      </w:tabs>
      <w:ind w:firstLine="198" w:firstLineChars="200"/>
      <w:jc w:val="left"/>
    </w:pPr>
    <w:rPr>
      <w:rFonts w:ascii="宋体"/>
      <w:szCs w:val="21"/>
    </w:rPr>
  </w:style>
  <w:style w:type="paragraph" w:customStyle="1" w:styleId="104">
    <w:name w:val="目录 51"/>
    <w:basedOn w:val="1"/>
    <w:next w:val="1"/>
    <w:semiHidden/>
    <w:qFormat/>
    <w:uiPriority w:val="0"/>
    <w:pPr>
      <w:tabs>
        <w:tab w:val="right" w:leader="dot" w:pos="9241"/>
      </w:tabs>
      <w:ind w:firstLine="300" w:firstLineChars="300"/>
      <w:jc w:val="left"/>
    </w:pPr>
    <w:rPr>
      <w:rFonts w:ascii="宋体"/>
      <w:szCs w:val="21"/>
    </w:rPr>
  </w:style>
  <w:style w:type="paragraph" w:customStyle="1" w:styleId="105">
    <w:name w:val="目录 61"/>
    <w:basedOn w:val="1"/>
    <w:next w:val="1"/>
    <w:semiHidden/>
    <w:qFormat/>
    <w:uiPriority w:val="0"/>
    <w:pPr>
      <w:tabs>
        <w:tab w:val="right" w:leader="dot" w:pos="9241"/>
      </w:tabs>
      <w:ind w:firstLine="403" w:firstLineChars="400"/>
      <w:jc w:val="left"/>
    </w:pPr>
    <w:rPr>
      <w:rFonts w:ascii="宋体"/>
      <w:szCs w:val="21"/>
    </w:rPr>
  </w:style>
  <w:style w:type="paragraph" w:customStyle="1" w:styleId="106">
    <w:name w:val="目录 71"/>
    <w:basedOn w:val="1"/>
    <w:next w:val="1"/>
    <w:semiHidden/>
    <w:qFormat/>
    <w:uiPriority w:val="0"/>
    <w:pPr>
      <w:tabs>
        <w:tab w:val="right" w:leader="dot" w:pos="9241"/>
      </w:tabs>
      <w:ind w:firstLine="505" w:firstLineChars="500"/>
      <w:jc w:val="left"/>
    </w:pPr>
    <w:rPr>
      <w:rFonts w:ascii="宋体"/>
      <w:szCs w:val="21"/>
    </w:rPr>
  </w:style>
  <w:style w:type="paragraph" w:customStyle="1" w:styleId="107">
    <w:name w:val="目录 81"/>
    <w:basedOn w:val="1"/>
    <w:next w:val="1"/>
    <w:semiHidden/>
    <w:qFormat/>
    <w:uiPriority w:val="0"/>
    <w:pPr>
      <w:tabs>
        <w:tab w:val="right" w:leader="dot" w:pos="9241"/>
      </w:tabs>
      <w:ind w:firstLine="607" w:firstLineChars="600"/>
      <w:jc w:val="left"/>
    </w:pPr>
    <w:rPr>
      <w:rFonts w:ascii="宋体"/>
      <w:szCs w:val="21"/>
    </w:rPr>
  </w:style>
  <w:style w:type="paragraph" w:customStyle="1" w:styleId="108">
    <w:name w:val="目录 91"/>
    <w:basedOn w:val="1"/>
    <w:next w:val="1"/>
    <w:semiHidden/>
    <w:qFormat/>
    <w:uiPriority w:val="0"/>
    <w:pPr>
      <w:ind w:left="1470"/>
      <w:jc w:val="left"/>
    </w:pPr>
    <w:rPr>
      <w:sz w:val="20"/>
      <w:szCs w:val="20"/>
    </w:rPr>
  </w:style>
  <w:style w:type="paragraph" w:customStyle="1" w:styleId="109">
    <w:name w:val="其他标准标志"/>
    <w:basedOn w:val="59"/>
    <w:qFormat/>
    <w:uiPriority w:val="0"/>
    <w:pPr>
      <w:framePr w:w="6101" w:wrap="around" w:vAnchor="page" w:hAnchor="page" w:x="4673" w:y="942"/>
    </w:pPr>
    <w:rPr>
      <w:w w:val="130"/>
    </w:rPr>
  </w:style>
  <w:style w:type="paragraph" w:customStyle="1" w:styleId="110">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1">
    <w:name w:val="其他发布部门"/>
    <w:basedOn w:val="67"/>
    <w:qFormat/>
    <w:uiPriority w:val="0"/>
    <w:pPr>
      <w:framePr w:wrap="around" w:y="15310"/>
      <w:spacing w:line="0" w:lineRule="atLeast"/>
    </w:pPr>
    <w:rPr>
      <w:rFonts w:ascii="黑体" w:eastAsia="黑体"/>
      <w:b w:val="0"/>
    </w:rPr>
  </w:style>
  <w:style w:type="paragraph" w:customStyle="1" w:styleId="112">
    <w:name w:val="前言、引言标题"/>
    <w:next w:val="19"/>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3">
    <w:name w:val="三级无"/>
    <w:basedOn w:val="44"/>
    <w:qFormat/>
    <w:uiPriority w:val="0"/>
    <w:pPr>
      <w:spacing w:before="0" w:beforeLines="0" w:after="0" w:afterLines="0"/>
    </w:pPr>
    <w:rPr>
      <w:rFonts w:ascii="宋体" w:eastAsia="宋体"/>
    </w:rPr>
  </w:style>
  <w:style w:type="paragraph" w:customStyle="1" w:styleId="114">
    <w:name w:val="实施日期"/>
    <w:basedOn w:val="68"/>
    <w:qFormat/>
    <w:uiPriority w:val="0"/>
    <w:pPr>
      <w:framePr w:wrap="around" w:vAnchor="page" w:hAnchor="text"/>
      <w:jc w:val="right"/>
    </w:pPr>
  </w:style>
  <w:style w:type="paragraph" w:customStyle="1" w:styleId="115">
    <w:name w:val="示例后文字"/>
    <w:basedOn w:val="19"/>
    <w:next w:val="19"/>
    <w:qFormat/>
    <w:uiPriority w:val="0"/>
    <w:pPr>
      <w:ind w:firstLine="360"/>
    </w:pPr>
    <w:rPr>
      <w:sz w:val="18"/>
    </w:rPr>
  </w:style>
  <w:style w:type="paragraph" w:customStyle="1" w:styleId="116">
    <w:name w:val="首示例"/>
    <w:next w:val="19"/>
    <w:link w:val="117"/>
    <w:qFormat/>
    <w:uiPriority w:val="0"/>
    <w:pPr>
      <w:numPr>
        <w:ilvl w:val="0"/>
        <w:numId w:val="14"/>
      </w:numPr>
      <w:tabs>
        <w:tab w:val="left" w:pos="360"/>
      </w:tabs>
      <w:ind w:firstLine="0"/>
    </w:pPr>
    <w:rPr>
      <w:rFonts w:ascii="宋体" w:hAnsi="宋体" w:eastAsia="宋体" w:cs="Times New Roman"/>
      <w:kern w:val="2"/>
      <w:sz w:val="18"/>
      <w:szCs w:val="18"/>
      <w:lang w:val="en-US" w:eastAsia="zh-CN" w:bidi="ar-SA"/>
    </w:rPr>
  </w:style>
  <w:style w:type="character" w:customStyle="1" w:styleId="117">
    <w:name w:val="首示例 Char"/>
    <w:link w:val="116"/>
    <w:qFormat/>
    <w:uiPriority w:val="0"/>
    <w:rPr>
      <w:rFonts w:ascii="宋体" w:hAnsi="宋体"/>
      <w:kern w:val="2"/>
      <w:sz w:val="18"/>
      <w:szCs w:val="18"/>
      <w:lang w:val="en-US" w:eastAsia="zh-CN" w:bidi="ar-SA"/>
    </w:rPr>
  </w:style>
  <w:style w:type="paragraph" w:customStyle="1" w:styleId="118">
    <w:name w:val="四级无"/>
    <w:basedOn w:val="48"/>
    <w:qFormat/>
    <w:uiPriority w:val="0"/>
    <w:pPr>
      <w:spacing w:before="0" w:beforeLines="0" w:after="0" w:afterLines="0"/>
    </w:pPr>
    <w:rPr>
      <w:rFonts w:ascii="宋体" w:eastAsia="宋体"/>
    </w:rPr>
  </w:style>
  <w:style w:type="paragraph" w:customStyle="1" w:styleId="119">
    <w:name w:val="条文脚注"/>
    <w:basedOn w:val="20"/>
    <w:qFormat/>
    <w:uiPriority w:val="0"/>
    <w:pPr>
      <w:numPr>
        <w:numId w:val="0"/>
      </w:numPr>
      <w:jc w:val="both"/>
    </w:pPr>
  </w:style>
  <w:style w:type="paragraph" w:customStyle="1" w:styleId="120">
    <w:name w:val="图标脚注说明"/>
    <w:basedOn w:val="19"/>
    <w:qFormat/>
    <w:uiPriority w:val="0"/>
    <w:pPr>
      <w:ind w:left="840" w:hanging="420" w:firstLineChars="0"/>
    </w:pPr>
    <w:rPr>
      <w:sz w:val="18"/>
      <w:szCs w:val="18"/>
    </w:rPr>
  </w:style>
  <w:style w:type="paragraph" w:customStyle="1" w:styleId="121">
    <w:name w:val="图表脚注说明"/>
    <w:basedOn w:val="1"/>
    <w:qFormat/>
    <w:uiPriority w:val="0"/>
    <w:pPr>
      <w:numPr>
        <w:ilvl w:val="0"/>
        <w:numId w:val="15"/>
      </w:numPr>
    </w:pPr>
    <w:rPr>
      <w:rFonts w:ascii="宋体"/>
      <w:sz w:val="18"/>
      <w:szCs w:val="18"/>
    </w:rPr>
  </w:style>
  <w:style w:type="paragraph" w:customStyle="1" w:styleId="122">
    <w:name w:val="图的脚注"/>
    <w:next w:val="19"/>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3">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4">
    <w:name w:val="五级无"/>
    <w:basedOn w:val="49"/>
    <w:qFormat/>
    <w:uiPriority w:val="0"/>
    <w:pPr>
      <w:spacing w:before="0" w:beforeLines="0" w:after="0" w:afterLines="0"/>
    </w:pPr>
    <w:rPr>
      <w:rFonts w:ascii="宋体" w:eastAsia="宋体"/>
    </w:rPr>
  </w:style>
  <w:style w:type="paragraph" w:customStyle="1" w:styleId="125">
    <w:name w:val="一级无"/>
    <w:basedOn w:val="35"/>
    <w:qFormat/>
    <w:uiPriority w:val="0"/>
    <w:pPr>
      <w:spacing w:before="0" w:beforeLines="0" w:after="0" w:afterLines="0"/>
    </w:pPr>
    <w:rPr>
      <w:rFonts w:ascii="宋体" w:eastAsia="宋体"/>
    </w:rPr>
  </w:style>
  <w:style w:type="character" w:customStyle="1" w:styleId="126">
    <w:name w:val="已访问的超链接1"/>
    <w:qFormat/>
    <w:uiPriority w:val="0"/>
    <w:rPr>
      <w:color w:val="800080"/>
      <w:u w:val="single"/>
    </w:rPr>
  </w:style>
  <w:style w:type="paragraph" w:customStyle="1" w:styleId="127">
    <w:name w:val="正文表标题"/>
    <w:next w:val="19"/>
    <w:qFormat/>
    <w:uiPriority w:val="0"/>
    <w:pPr>
      <w:numPr>
        <w:ilvl w:val="0"/>
        <w:numId w:val="16"/>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28">
    <w:name w:val="正文公式编号制表符"/>
    <w:basedOn w:val="19"/>
    <w:next w:val="19"/>
    <w:qFormat/>
    <w:uiPriority w:val="0"/>
    <w:pPr>
      <w:ind w:firstLine="0" w:firstLineChars="0"/>
    </w:pPr>
  </w:style>
  <w:style w:type="paragraph" w:customStyle="1" w:styleId="129">
    <w:name w:val="正文图标题"/>
    <w:next w:val="19"/>
    <w:qFormat/>
    <w:uiPriority w:val="0"/>
    <w:pPr>
      <w:numPr>
        <w:ilvl w:val="0"/>
        <w:numId w:val="1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30">
    <w:name w:val="终结线"/>
    <w:basedOn w:val="1"/>
    <w:qFormat/>
    <w:uiPriority w:val="0"/>
    <w:pPr>
      <w:framePr w:hSpace="181" w:vSpace="181" w:wrap="around" w:vAnchor="text" w:hAnchor="margin" w:xAlign="center" w:y="285"/>
    </w:pPr>
  </w:style>
  <w:style w:type="paragraph" w:customStyle="1" w:styleId="131">
    <w:name w:val="其他发布日期"/>
    <w:basedOn w:val="68"/>
    <w:qFormat/>
    <w:uiPriority w:val="0"/>
    <w:pPr>
      <w:framePr w:wrap="around" w:vAnchor="page" w:hAnchor="text" w:x="1419"/>
    </w:pPr>
  </w:style>
  <w:style w:type="paragraph" w:customStyle="1" w:styleId="132">
    <w:name w:val="其他实施日期"/>
    <w:basedOn w:val="114"/>
    <w:qFormat/>
    <w:uiPriority w:val="0"/>
    <w:pPr>
      <w:framePr w:wrap="around"/>
    </w:pPr>
  </w:style>
  <w:style w:type="paragraph" w:customStyle="1" w:styleId="133">
    <w:name w:val="封面标准名称2"/>
    <w:basedOn w:val="71"/>
    <w:qFormat/>
    <w:uiPriority w:val="0"/>
    <w:pPr>
      <w:framePr w:wrap="around" w:y="4469"/>
      <w:spacing w:before="630" w:beforeLines="630"/>
    </w:pPr>
  </w:style>
  <w:style w:type="paragraph" w:customStyle="1" w:styleId="134">
    <w:name w:val="封面标准英文名称2"/>
    <w:basedOn w:val="72"/>
    <w:qFormat/>
    <w:uiPriority w:val="0"/>
    <w:pPr>
      <w:framePr w:wrap="around" w:y="4469"/>
    </w:pPr>
  </w:style>
  <w:style w:type="paragraph" w:customStyle="1" w:styleId="135">
    <w:name w:val="封面一致性程度标识2"/>
    <w:basedOn w:val="73"/>
    <w:qFormat/>
    <w:uiPriority w:val="0"/>
    <w:pPr>
      <w:framePr w:wrap="around" w:y="4469"/>
    </w:pPr>
  </w:style>
  <w:style w:type="paragraph" w:customStyle="1" w:styleId="136">
    <w:name w:val="封面标准文稿类别2"/>
    <w:basedOn w:val="74"/>
    <w:qFormat/>
    <w:uiPriority w:val="0"/>
    <w:pPr>
      <w:framePr w:wrap="around" w:y="4469"/>
    </w:pPr>
  </w:style>
  <w:style w:type="paragraph" w:customStyle="1" w:styleId="137">
    <w:name w:val="封面标准文稿编辑信息2"/>
    <w:basedOn w:val="75"/>
    <w:qFormat/>
    <w:uiPriority w:val="0"/>
    <w:pPr>
      <w:framePr w:wrap="around" w:y="4469"/>
    </w:pPr>
  </w:style>
  <w:style w:type="paragraph" w:customStyle="1" w:styleId="138">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39">
    <w:name w:val="目录 11"/>
    <w:basedOn w:val="1"/>
    <w:next w:val="1"/>
    <w:qFormat/>
    <w:uiPriority w:val="39"/>
    <w:pPr>
      <w:tabs>
        <w:tab w:val="right" w:leader="dot" w:pos="9241"/>
      </w:tabs>
      <w:spacing w:before="25" w:beforeLines="25" w:after="25" w:afterLines="25"/>
      <w:jc w:val="left"/>
    </w:pPr>
    <w:rPr>
      <w:rFonts w:ascii="宋体"/>
      <w:szCs w:val="21"/>
    </w:rPr>
  </w:style>
  <w:style w:type="paragraph" w:customStyle="1" w:styleId="140">
    <w:name w:val="目录 21"/>
    <w:basedOn w:val="1"/>
    <w:next w:val="1"/>
    <w:semiHidden/>
    <w:qFormat/>
    <w:uiPriority w:val="0"/>
    <w:pPr>
      <w:tabs>
        <w:tab w:val="right" w:leader="dot" w:pos="9241"/>
      </w:tabs>
    </w:pPr>
    <w:rPr>
      <w:rFonts w:ascii="宋体"/>
      <w:szCs w:val="21"/>
    </w:rPr>
  </w:style>
  <w:style w:type="character" w:customStyle="1" w:styleId="141">
    <w:name w:val="批注框文本 字符"/>
    <w:link w:val="13"/>
    <w:qFormat/>
    <w:uiPriority w:val="0"/>
    <w:rPr>
      <w:kern w:val="2"/>
      <w:sz w:val="18"/>
      <w:szCs w:val="18"/>
    </w:rPr>
  </w:style>
  <w:style w:type="character" w:customStyle="1" w:styleId="142">
    <w:name w:val="批注文字 字符"/>
    <w:basedOn w:val="28"/>
    <w:link w:val="7"/>
    <w:qFormat/>
    <w:uiPriority w:val="0"/>
    <w:rPr>
      <w:kern w:val="2"/>
      <w:sz w:val="21"/>
      <w:szCs w:val="24"/>
    </w:rPr>
  </w:style>
  <w:style w:type="character" w:customStyle="1" w:styleId="143">
    <w:name w:val="批注主题 字符"/>
    <w:basedOn w:val="142"/>
    <w:link w:val="25"/>
    <w:qFormat/>
    <w:uiPriority w:val="0"/>
    <w:rPr>
      <w:b/>
      <w:bCs/>
      <w:kern w:val="2"/>
      <w:sz w:val="21"/>
      <w:szCs w:val="24"/>
    </w:rPr>
  </w:style>
  <w:style w:type="character" w:customStyle="1" w:styleId="144">
    <w:name w:val="标题 1 字符"/>
    <w:basedOn w:val="28"/>
    <w:link w:val="2"/>
    <w:qFormat/>
    <w:uiPriority w:val="0"/>
    <w:rPr>
      <w:b/>
      <w:bCs/>
      <w:kern w:val="44"/>
      <w:sz w:val="44"/>
      <w:szCs w:val="44"/>
    </w:rPr>
  </w:style>
  <w:style w:type="paragraph" w:customStyle="1" w:styleId="145">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paragraph" w:customStyle="1" w:styleId="146">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microsoft.com/office/2006/relationships/keyMapCustomizations" Target="customizations.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5.e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4.emf"/><Relationship Id="rId18" Type="http://schemas.openxmlformats.org/officeDocument/2006/relationships/oleObject" Target="embeddings/oleObject4.bin"/><Relationship Id="rId17" Type="http://schemas.openxmlformats.org/officeDocument/2006/relationships/image" Target="media/image3.emf"/><Relationship Id="rId16" Type="http://schemas.openxmlformats.org/officeDocument/2006/relationships/oleObject" Target="embeddings/oleObject3.bin"/><Relationship Id="rId15" Type="http://schemas.openxmlformats.org/officeDocument/2006/relationships/image" Target="media/image2.emf"/><Relationship Id="rId14" Type="http://schemas.openxmlformats.org/officeDocument/2006/relationships/oleObject" Target="embeddings/oleObject2.bin"/><Relationship Id="rId13" Type="http://schemas.openxmlformats.org/officeDocument/2006/relationships/image" Target="media/image1.e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6387E0-A3A6-4CC6-80F1-380678B42280}">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20</Pages>
  <Words>1614</Words>
  <Characters>9201</Characters>
  <Lines>76</Lines>
  <Paragraphs>21</Paragraphs>
  <TotalTime>1</TotalTime>
  <ScaleCrop>false</ScaleCrop>
  <LinksUpToDate>false</LinksUpToDate>
  <CharactersWithSpaces>10794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2024-10-18T09:32:00Z</dcterms:created>
  <dc:creator>CNIS</dc:creator>
  <cp:lastModifiedBy>lixue</cp:lastModifiedBy>
  <cp:lastPrinted>2020-07-21T07:18:00Z</cp:lastPrinted>
  <dcterms:modified xsi:type="dcterms:W3CDTF">2026-06-18T01:36:49Z</dcterms:modified>
  <dc:title>标准名称</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7EA8D548785349EF9657A83E297E1282</vt:lpwstr>
  </property>
</Properties>
</file>